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p>
        </w:tc>
        <w:tc>
          <w:tcPr>
            <w:tcW w:w="6095" w:type="dxa"/>
            <w:gridSpan w:val="2"/>
            <w:tcBorders>
              <w:bottom w:val="single" w:sz="4" w:space="0" w:color="auto"/>
            </w:tcBorders>
            <w:vAlign w:val="bottom"/>
          </w:tcPr>
          <w:p w:rsidR="00B56E9C" w:rsidRPr="00D47EEA" w:rsidRDefault="00B56E9C" w:rsidP="00D4083F">
            <w:pPr>
              <w:jc w:val="right"/>
            </w:pPr>
          </w:p>
        </w:tc>
      </w:tr>
      <w:tr w:rsidR="00B56E9C" w:rsidTr="00B6553F">
        <w:trPr>
          <w:cantSplit/>
          <w:trHeight w:hRule="exact" w:val="2835"/>
        </w:trPr>
        <w:tc>
          <w:tcPr>
            <w:tcW w:w="1276" w:type="dxa"/>
            <w:tcBorders>
              <w:top w:val="single" w:sz="4" w:space="0" w:color="auto"/>
              <w:bottom w:val="single" w:sz="12" w:space="0" w:color="auto"/>
            </w:tcBorders>
          </w:tcPr>
          <w:p w:rsidR="00B56E9C" w:rsidRDefault="00B56E9C" w:rsidP="00B6553F">
            <w:pPr>
              <w:spacing w:before="120"/>
            </w:pPr>
          </w:p>
        </w:tc>
        <w:tc>
          <w:tcPr>
            <w:tcW w:w="5528" w:type="dxa"/>
            <w:gridSpan w:val="2"/>
            <w:tcBorders>
              <w:top w:val="single" w:sz="4" w:space="0" w:color="auto"/>
              <w:bottom w:val="single" w:sz="12" w:space="0" w:color="auto"/>
            </w:tcBorders>
          </w:tcPr>
          <w:p w:rsidR="00B56E9C" w:rsidRPr="00267F5F" w:rsidRDefault="00985592" w:rsidP="00267F5F">
            <w:pPr>
              <w:spacing w:before="120" w:line="380" w:lineRule="exact"/>
              <w:rPr>
                <w:sz w:val="34"/>
              </w:rPr>
            </w:pPr>
            <w:r>
              <w:rPr>
                <w:sz w:val="34"/>
              </w:rPr>
              <w:t>ADVANCE UNEDITED VERSION</w:t>
            </w:r>
          </w:p>
        </w:tc>
        <w:tc>
          <w:tcPr>
            <w:tcW w:w="2835" w:type="dxa"/>
            <w:tcBorders>
              <w:top w:val="single" w:sz="4" w:space="0" w:color="auto"/>
              <w:bottom w:val="single" w:sz="12" w:space="0" w:color="auto"/>
            </w:tcBorders>
          </w:tcPr>
          <w:p w:rsidR="00E80501" w:rsidRDefault="00E80501" w:rsidP="003E17F5">
            <w:pPr>
              <w:spacing w:line="240" w:lineRule="exact"/>
            </w:pPr>
          </w:p>
        </w:tc>
      </w:tr>
    </w:tbl>
    <w:p w:rsidR="003E17F5" w:rsidRPr="00F81F83" w:rsidRDefault="003E17F5" w:rsidP="003E17F5">
      <w:pPr>
        <w:spacing w:before="120"/>
        <w:rPr>
          <w:b/>
          <w:bCs/>
          <w:sz w:val="24"/>
          <w:szCs w:val="24"/>
        </w:rPr>
      </w:pPr>
      <w:bookmarkStart w:id="0" w:name="_GoBack"/>
      <w:r w:rsidRPr="00F81F83">
        <w:rPr>
          <w:b/>
          <w:bCs/>
          <w:sz w:val="24"/>
          <w:szCs w:val="24"/>
        </w:rPr>
        <w:t>Human Rights Committee</w:t>
      </w:r>
    </w:p>
    <w:p w:rsidR="003E17F5" w:rsidRPr="00D12008" w:rsidRDefault="00CA027D" w:rsidP="003E17F5">
      <w:pPr>
        <w:pStyle w:val="HChG"/>
      </w:pPr>
      <w:r>
        <w:tab/>
      </w:r>
      <w:r>
        <w:tab/>
      </w:r>
      <w:r w:rsidR="003E17F5" w:rsidRPr="00D12008">
        <w:t xml:space="preserve">Concluding </w:t>
      </w:r>
      <w:r w:rsidR="003E17F5" w:rsidRPr="00F91FC8">
        <w:t>observations on the initial report of Bangladesh</w:t>
      </w:r>
      <w:r w:rsidR="003E17F5" w:rsidRPr="00F91FC8">
        <w:rPr>
          <w:rStyle w:val="FootnoteReference"/>
          <w:b w:val="0"/>
          <w:sz w:val="20"/>
          <w:vertAlign w:val="baseline"/>
        </w:rPr>
        <w:footnoteReference w:customMarkFollows="1" w:id="2"/>
        <w:t>*</w:t>
      </w:r>
    </w:p>
    <w:p w:rsidR="003E17F5" w:rsidRPr="00CA027D" w:rsidRDefault="003E17F5" w:rsidP="001D7A64">
      <w:pPr>
        <w:pStyle w:val="SingleTxtG"/>
      </w:pPr>
      <w:r w:rsidRPr="00CA027D">
        <w:t>1.</w:t>
      </w:r>
      <w:r w:rsidRPr="00CA027D">
        <w:tab/>
        <w:t>The Committee considered the initial report of Bangladesh (CCPR/C/BGD/1) at its 3339th and 3340th meetings (see CCPR/C/SR.3339 and 3340), held on 6 and 7 March 2017. At its 3363rd meeting, held on 22 March 2017, it adopted the present concluding observations.</w:t>
      </w:r>
      <w:r w:rsidRPr="00CA027D">
        <w:tab/>
      </w:r>
    </w:p>
    <w:bookmarkEnd w:id="0"/>
    <w:p w:rsidR="003E17F5" w:rsidRPr="00972ACF" w:rsidRDefault="003E17F5" w:rsidP="001D7A64">
      <w:pPr>
        <w:pStyle w:val="H1G"/>
        <w:rPr>
          <w:color w:val="0000FF"/>
        </w:rPr>
      </w:pPr>
      <w:r w:rsidRPr="00E83B5D">
        <w:tab/>
        <w:t>A.</w:t>
      </w:r>
      <w:r w:rsidRPr="00E83B5D">
        <w:tab/>
        <w:t>Introduction</w:t>
      </w:r>
    </w:p>
    <w:p w:rsidR="003E17F5" w:rsidRPr="00FF540B" w:rsidRDefault="00D4083F" w:rsidP="001D7A64">
      <w:pPr>
        <w:pStyle w:val="SingleTxtG"/>
      </w:pPr>
      <w:r>
        <w:rPr>
          <w:rStyle w:val="sessionsubtitle"/>
        </w:rPr>
        <w:t>2.</w:t>
      </w:r>
      <w:r w:rsidR="003E17F5">
        <w:rPr>
          <w:rStyle w:val="sessionsubtitle"/>
        </w:rPr>
        <w:tab/>
        <w:t xml:space="preserve">The </w:t>
      </w:r>
      <w:r w:rsidR="003E17F5" w:rsidRPr="00C14F12">
        <w:rPr>
          <w:rStyle w:val="sessionsubtitle"/>
        </w:rPr>
        <w:t xml:space="preserve">Committee welcomes the submission of the initial report of </w:t>
      </w:r>
      <w:r w:rsidR="003E17F5" w:rsidRPr="0066454B">
        <w:t>Bangladesh</w:t>
      </w:r>
      <w:r w:rsidR="00640C54">
        <w:t xml:space="preserve"> </w:t>
      </w:r>
      <w:r w:rsidR="00640C54" w:rsidRPr="00D64CD2">
        <w:rPr>
          <w:rStyle w:val="sessionsubtitle"/>
        </w:rPr>
        <w:t>and the information presented there</w:t>
      </w:r>
      <w:r w:rsidR="00640C54">
        <w:rPr>
          <w:rStyle w:val="sessionsubtitle"/>
          <w:rFonts w:hint="eastAsia"/>
          <w:lang w:eastAsia="ja-JP"/>
        </w:rPr>
        <w:t>in</w:t>
      </w:r>
      <w:r w:rsidR="00640C54" w:rsidRPr="0066454B">
        <w:rPr>
          <w:rStyle w:val="sessionsubtitle"/>
        </w:rPr>
        <w:t>,</w:t>
      </w:r>
      <w:r w:rsidR="00640C54">
        <w:rPr>
          <w:rStyle w:val="sessionsubtitle"/>
          <w:color w:val="FF0000"/>
        </w:rPr>
        <w:t xml:space="preserve"> </w:t>
      </w:r>
      <w:r w:rsidR="00640C54" w:rsidRPr="0082691C">
        <w:rPr>
          <w:rStyle w:val="sessionsubtitle"/>
          <w:rFonts w:hint="eastAsia"/>
          <w:lang w:eastAsia="ja-JP"/>
        </w:rPr>
        <w:t>and regrets that i</w:t>
      </w:r>
      <w:r w:rsidR="00640C54" w:rsidRPr="0082691C">
        <w:rPr>
          <w:rStyle w:val="sessionsubtitle"/>
          <w:lang w:eastAsia="ja-JP"/>
        </w:rPr>
        <w:t>t</w:t>
      </w:r>
      <w:r w:rsidR="003E17F5" w:rsidRPr="0082691C">
        <w:rPr>
          <w:rStyle w:val="sessionsubtitle"/>
        </w:rPr>
        <w:t xml:space="preserve"> </w:t>
      </w:r>
      <w:r w:rsidR="003E17F5" w:rsidRPr="00D64CD2">
        <w:rPr>
          <w:rStyle w:val="sessionsubtitle"/>
        </w:rPr>
        <w:t>was 14 years overdue</w:t>
      </w:r>
      <w:r w:rsidR="00640C54">
        <w:rPr>
          <w:rStyle w:val="sessionsubtitle"/>
        </w:rPr>
        <w:t>.</w:t>
      </w:r>
      <w:r w:rsidR="003E17F5" w:rsidRPr="00D64CD2">
        <w:rPr>
          <w:rStyle w:val="sessionsubtitle"/>
        </w:rPr>
        <w:t xml:space="preserve"> It expresses appreciation for the opportunity to engage in a constructive dialogue with the State party’s high-level</w:t>
      </w:r>
      <w:r w:rsidR="003E17F5" w:rsidRPr="00C14F12">
        <w:rPr>
          <w:rStyle w:val="sessionsubtitle"/>
        </w:rPr>
        <w:t xml:space="preserve"> delegation </w:t>
      </w:r>
      <w:r w:rsidR="003E17F5" w:rsidRPr="00A6789B">
        <w:rPr>
          <w:rStyle w:val="sessionsubtitle"/>
        </w:rPr>
        <w:t xml:space="preserve">on the measures taken </w:t>
      </w:r>
      <w:r w:rsidR="003E17F5">
        <w:rPr>
          <w:rStyle w:val="sessionsubtitle"/>
        </w:rPr>
        <w:t xml:space="preserve">by the State party </w:t>
      </w:r>
      <w:r w:rsidR="003E17F5" w:rsidRPr="00A6789B">
        <w:rPr>
          <w:rStyle w:val="sessionsubtitle"/>
        </w:rPr>
        <w:t>since the entry into force of the Coven</w:t>
      </w:r>
      <w:r w:rsidR="003E17F5">
        <w:rPr>
          <w:rStyle w:val="sessionsubtitle"/>
        </w:rPr>
        <w:t>ant to implement its provisions</w:t>
      </w:r>
      <w:r w:rsidR="003E17F5" w:rsidRPr="00C14F12">
        <w:rPr>
          <w:rStyle w:val="sessionsubtitle"/>
        </w:rPr>
        <w:t xml:space="preserve">. The Committee is grateful to the State party for its written replies </w:t>
      </w:r>
      <w:r w:rsidR="003E17F5" w:rsidRPr="00FF540B">
        <w:t>(CCPR/</w:t>
      </w:r>
      <w:r w:rsidR="003E17F5" w:rsidRPr="0066454B">
        <w:t>C/BDG/Q/1/Add.</w:t>
      </w:r>
      <w:r w:rsidR="003E17F5" w:rsidRPr="00FB0DB7">
        <w:t>1</w:t>
      </w:r>
      <w:r w:rsidR="003E17F5" w:rsidRPr="00FF540B">
        <w:t xml:space="preserve">) </w:t>
      </w:r>
      <w:r w:rsidR="003E17F5" w:rsidRPr="00C14F12">
        <w:rPr>
          <w:rStyle w:val="sessionsubtitle"/>
        </w:rPr>
        <w:t>to the list of issues</w:t>
      </w:r>
      <w:r w:rsidR="003E17F5">
        <w:rPr>
          <w:rStyle w:val="sessionsubtitle"/>
        </w:rPr>
        <w:t xml:space="preserve"> </w:t>
      </w:r>
      <w:r w:rsidR="003E17F5" w:rsidRPr="00FF540B">
        <w:t>(CCPR</w:t>
      </w:r>
      <w:r w:rsidR="003E17F5" w:rsidRPr="000077FD">
        <w:t>/C/BDG/Q/1)</w:t>
      </w:r>
      <w:r w:rsidR="003E17F5" w:rsidRPr="000077FD">
        <w:rPr>
          <w:rStyle w:val="sessionsubtitle"/>
        </w:rPr>
        <w:t>,</w:t>
      </w:r>
      <w:r w:rsidR="003E17F5" w:rsidRPr="00C14F12">
        <w:rPr>
          <w:rStyle w:val="sessionsubtitle"/>
        </w:rPr>
        <w:t xml:space="preserve"> which were supplemented by </w:t>
      </w:r>
      <w:r w:rsidR="003E17F5">
        <w:rPr>
          <w:rStyle w:val="sessionsubtitle"/>
        </w:rPr>
        <w:t xml:space="preserve">the </w:t>
      </w:r>
      <w:r w:rsidR="003E17F5" w:rsidRPr="00C14F12">
        <w:rPr>
          <w:rStyle w:val="sessionsubtitle"/>
        </w:rPr>
        <w:t xml:space="preserve">oral responses </w:t>
      </w:r>
      <w:r w:rsidR="003E17F5">
        <w:rPr>
          <w:rStyle w:val="sessionsubtitle"/>
        </w:rPr>
        <w:t xml:space="preserve">provided by the delegation. </w:t>
      </w:r>
    </w:p>
    <w:p w:rsidR="003E17F5" w:rsidRPr="00E83B5D" w:rsidRDefault="003E17F5" w:rsidP="003E17F5">
      <w:pPr>
        <w:pStyle w:val="H1G"/>
      </w:pPr>
      <w:r w:rsidRPr="00E83B5D">
        <w:tab/>
        <w:t>B.</w:t>
      </w:r>
      <w:r w:rsidRPr="00E83B5D">
        <w:tab/>
        <w:t>Positive aspects</w:t>
      </w:r>
    </w:p>
    <w:p w:rsidR="003E17F5" w:rsidRPr="001D7A64" w:rsidRDefault="003E17F5" w:rsidP="001D7A64">
      <w:pPr>
        <w:pStyle w:val="SingleTxtG"/>
      </w:pPr>
      <w:r w:rsidRPr="001D7A64">
        <w:t>3.</w:t>
      </w:r>
      <w:r w:rsidRPr="001D7A64">
        <w:tab/>
        <w:t>The Committee welcomes the following legislative and institutional measures taken by the State party since the entry into force of the Covenant in 2000:</w:t>
      </w:r>
    </w:p>
    <w:p w:rsidR="003E17F5" w:rsidRPr="001D7A64" w:rsidRDefault="001D7A64" w:rsidP="001D7A64">
      <w:pPr>
        <w:pStyle w:val="SingleTxtG"/>
      </w:pPr>
      <w:r>
        <w:tab/>
      </w:r>
      <w:r w:rsidR="003E17F5" w:rsidRPr="001D7A64">
        <w:t>(a)</w:t>
      </w:r>
      <w:r w:rsidR="003E17F5" w:rsidRPr="001D7A64">
        <w:tab/>
        <w:t>Ado</w:t>
      </w:r>
      <w:r w:rsidR="0047764B">
        <w:t>ption of the Domestic Violence Prevention and Protection</w:t>
      </w:r>
      <w:r w:rsidR="003E17F5" w:rsidRPr="001D7A64">
        <w:t xml:space="preserve"> Act, in 2010;</w:t>
      </w:r>
    </w:p>
    <w:p w:rsidR="003E17F5" w:rsidRPr="001D7A64" w:rsidRDefault="001D7A64" w:rsidP="001D7A64">
      <w:pPr>
        <w:pStyle w:val="SingleTxtG"/>
      </w:pPr>
      <w:r>
        <w:tab/>
      </w:r>
      <w:r w:rsidR="003E17F5" w:rsidRPr="001D7A64">
        <w:t>(b)</w:t>
      </w:r>
      <w:r w:rsidR="003E17F5" w:rsidRPr="001D7A64">
        <w:tab/>
        <w:t xml:space="preserve">Adoption of the National Women Development Policy 2011, especially the </w:t>
      </w:r>
      <w:r w:rsidR="00C86648">
        <w:t xml:space="preserve">framework for </w:t>
      </w:r>
      <w:r w:rsidR="003E17F5" w:rsidRPr="001D7A64">
        <w:t>efforts to promote women’s participation in decision-making positions</w:t>
      </w:r>
      <w:r w:rsidR="00C86648">
        <w:t xml:space="preserve"> contained in the policy</w:t>
      </w:r>
      <w:r w:rsidR="003E17F5" w:rsidRPr="001D7A64">
        <w:t>;</w:t>
      </w:r>
    </w:p>
    <w:p w:rsidR="003E17F5" w:rsidRPr="001D7A64" w:rsidRDefault="001D7A64" w:rsidP="001D7A64">
      <w:pPr>
        <w:pStyle w:val="SingleTxtG"/>
      </w:pPr>
      <w:r>
        <w:tab/>
      </w:r>
      <w:r w:rsidRPr="001D7A64">
        <w:t>(c)</w:t>
      </w:r>
      <w:r w:rsidRPr="001D7A64">
        <w:tab/>
      </w:r>
      <w:r w:rsidR="003E17F5" w:rsidRPr="001D7A64">
        <w:t>Adoption of the Prevention and Suppression of Human Trafficking Act, in 2012;</w:t>
      </w:r>
    </w:p>
    <w:p w:rsidR="003E17F5" w:rsidRPr="001D7A64" w:rsidRDefault="001D7A64" w:rsidP="001D7A64">
      <w:pPr>
        <w:pStyle w:val="SingleTxtG"/>
      </w:pPr>
      <w:r>
        <w:tab/>
      </w:r>
      <w:r w:rsidRPr="001D7A64">
        <w:t>(d)</w:t>
      </w:r>
      <w:r w:rsidRPr="001D7A64">
        <w:tab/>
      </w:r>
      <w:r w:rsidR="003E17F5" w:rsidRPr="001D7A64">
        <w:t>Adoption of the Persons with Disabilities Rights and Protection Act, in 2013;</w:t>
      </w:r>
    </w:p>
    <w:p w:rsidR="003E17F5" w:rsidRPr="001D7A64" w:rsidRDefault="001D7A64" w:rsidP="001D7A64">
      <w:pPr>
        <w:pStyle w:val="SingleTxtG"/>
      </w:pPr>
      <w:r>
        <w:tab/>
      </w:r>
      <w:r w:rsidRPr="001D7A64">
        <w:t>(e)</w:t>
      </w:r>
      <w:r w:rsidRPr="001D7A64">
        <w:tab/>
      </w:r>
      <w:r w:rsidR="003E17F5" w:rsidRPr="001D7A64">
        <w:t>Adoption of t</w:t>
      </w:r>
      <w:r w:rsidR="0047764B">
        <w:t>he Torture and Custodial Death Prevention</w:t>
      </w:r>
      <w:r w:rsidR="003E17F5" w:rsidRPr="001D7A64">
        <w:t xml:space="preserve"> Act, in 2013</w:t>
      </w:r>
      <w:r w:rsidR="00FF1381">
        <w:t>.</w:t>
      </w:r>
    </w:p>
    <w:p w:rsidR="003E17F5" w:rsidRPr="001D7A64" w:rsidRDefault="003E17F5" w:rsidP="001D7A64">
      <w:pPr>
        <w:pStyle w:val="SingleTxtG"/>
      </w:pPr>
      <w:r w:rsidRPr="001D7A64">
        <w:t>4.</w:t>
      </w:r>
      <w:r w:rsidRPr="001D7A64">
        <w:tab/>
        <w:t>The Committee also welcomes the ratification of, or accession to, the following international instruments by the State party:</w:t>
      </w:r>
    </w:p>
    <w:p w:rsidR="003E17F5" w:rsidRPr="001D7A64" w:rsidRDefault="003E17F5" w:rsidP="001D7A64">
      <w:pPr>
        <w:pStyle w:val="SingleTxtG"/>
      </w:pPr>
      <w:r w:rsidRPr="001D7A64">
        <w:lastRenderedPageBreak/>
        <w:tab/>
        <w:t>(a)</w:t>
      </w:r>
      <w:r w:rsidRPr="001D7A64">
        <w:tab/>
      </w:r>
      <w:r w:rsidR="00241640">
        <w:t xml:space="preserve">The </w:t>
      </w:r>
      <w:r w:rsidRPr="001D7A64">
        <w:t>International Convention on the Protection of the Rights of All Migrant Workers and Members of Their Families</w:t>
      </w:r>
      <w:r w:rsidR="007D611B">
        <w:t>,</w:t>
      </w:r>
      <w:r w:rsidRPr="001D7A64">
        <w:t xml:space="preserve"> in 2011;</w:t>
      </w:r>
    </w:p>
    <w:p w:rsidR="003E17F5" w:rsidRPr="001D7A64" w:rsidRDefault="001D7A64" w:rsidP="001D7A64">
      <w:pPr>
        <w:pStyle w:val="SingleTxtG"/>
      </w:pPr>
      <w:r>
        <w:tab/>
      </w:r>
      <w:r w:rsidR="003E17F5" w:rsidRPr="001D7A64">
        <w:t>(b)</w:t>
      </w:r>
      <w:r w:rsidR="003E17F5" w:rsidRPr="001D7A64">
        <w:tab/>
      </w:r>
      <w:r w:rsidR="00241640">
        <w:t xml:space="preserve">The </w:t>
      </w:r>
      <w:r w:rsidR="003E17F5" w:rsidRPr="001D7A64">
        <w:t>Convention on the Rights of Persons with Disabilities</w:t>
      </w:r>
      <w:r w:rsidR="007D611B">
        <w:t>,</w:t>
      </w:r>
      <w:r w:rsidR="003E17F5" w:rsidRPr="001D7A64">
        <w:t xml:space="preserve"> in 2007</w:t>
      </w:r>
      <w:r w:rsidR="00FF1381">
        <w:t>.</w:t>
      </w:r>
    </w:p>
    <w:p w:rsidR="003E17F5" w:rsidRPr="001D7A64" w:rsidRDefault="003E17F5" w:rsidP="002028D4">
      <w:pPr>
        <w:pStyle w:val="H1G"/>
      </w:pPr>
      <w:r w:rsidRPr="00FF540B">
        <w:tab/>
      </w:r>
      <w:r w:rsidRPr="001D7A64">
        <w:t>C</w:t>
      </w:r>
      <w:r w:rsidR="00FF1381">
        <w:t>.</w:t>
      </w:r>
      <w:r w:rsidRPr="001D7A64">
        <w:tab/>
      </w:r>
      <w:r w:rsidRPr="005C6CAC">
        <w:t>Principal matters of concern and recommendations</w:t>
      </w:r>
      <w:r w:rsidRPr="001D7A64">
        <w:t xml:space="preserve"> </w:t>
      </w:r>
    </w:p>
    <w:p w:rsidR="003E17F5" w:rsidRPr="004D739C" w:rsidRDefault="003E17F5" w:rsidP="001D7A64">
      <w:pPr>
        <w:pStyle w:val="SingleTxtG"/>
        <w:rPr>
          <w:b/>
        </w:rPr>
      </w:pPr>
      <w:r w:rsidRPr="004D739C">
        <w:rPr>
          <w:b/>
        </w:rPr>
        <w:t>National human rights commission</w:t>
      </w:r>
    </w:p>
    <w:p w:rsidR="003E17F5" w:rsidRDefault="001D7A64" w:rsidP="001D7A64">
      <w:pPr>
        <w:pStyle w:val="SingleTxtG"/>
      </w:pPr>
      <w:r>
        <w:t>5.</w:t>
      </w:r>
      <w:r>
        <w:tab/>
      </w:r>
      <w:r w:rsidR="003E17F5">
        <w:rPr>
          <w:bCs/>
        </w:rPr>
        <w:t xml:space="preserve">The </w:t>
      </w:r>
      <w:r w:rsidR="003E17F5" w:rsidRPr="005C6577">
        <w:rPr>
          <w:bCs/>
        </w:rPr>
        <w:t>Committee</w:t>
      </w:r>
      <w:r w:rsidR="003E17F5">
        <w:rPr>
          <w:bCs/>
        </w:rPr>
        <w:t xml:space="preserve"> i</w:t>
      </w:r>
      <w:r w:rsidR="003E17F5" w:rsidRPr="005C6577">
        <w:rPr>
          <w:bCs/>
        </w:rPr>
        <w:t>s concern</w:t>
      </w:r>
      <w:r w:rsidR="003E17F5">
        <w:rPr>
          <w:bCs/>
        </w:rPr>
        <w:t xml:space="preserve">ed that the National Human Rights Commission (NHRC) may not have a broad enough mandate to investigate all alleged human rights violations, including those involving State actors such as the police, military and security forces. </w:t>
      </w:r>
      <w:r w:rsidR="00790CF4">
        <w:rPr>
          <w:bCs/>
        </w:rPr>
        <w:t xml:space="preserve">It </w:t>
      </w:r>
      <w:r w:rsidR="003E17F5">
        <w:rPr>
          <w:bCs/>
        </w:rPr>
        <w:t>is further concerned that the NHRC lacks sufficient financial and human resources to fulfil its mandate</w:t>
      </w:r>
      <w:r w:rsidR="003E17F5" w:rsidRPr="005C6577">
        <w:t xml:space="preserve"> </w:t>
      </w:r>
      <w:r w:rsidR="003E17F5">
        <w:t>(art</w:t>
      </w:r>
      <w:r w:rsidR="003E17F5" w:rsidRPr="005C6577">
        <w:t>.</w:t>
      </w:r>
      <w:r w:rsidR="003E17F5" w:rsidRPr="00E1266D">
        <w:t xml:space="preserve"> 2</w:t>
      </w:r>
      <w:r w:rsidR="003E17F5" w:rsidRPr="005C6577">
        <w:t>).</w:t>
      </w:r>
    </w:p>
    <w:p w:rsidR="0082691C" w:rsidRDefault="001D7A64" w:rsidP="0082691C">
      <w:pPr>
        <w:pStyle w:val="SingleTxtG"/>
        <w:rPr>
          <w:b/>
          <w:bCs/>
          <w:lang w:eastAsia="en-GB"/>
        </w:rPr>
      </w:pPr>
      <w:r w:rsidRPr="003310F9">
        <w:rPr>
          <w:b/>
        </w:rPr>
        <w:t>6.</w:t>
      </w:r>
      <w:r w:rsidRPr="003310F9">
        <w:rPr>
          <w:b/>
        </w:rPr>
        <w:tab/>
      </w:r>
      <w:r w:rsidR="003E17F5" w:rsidRPr="005E0FF2">
        <w:rPr>
          <w:b/>
          <w:bCs/>
        </w:rPr>
        <w:t>The State party</w:t>
      </w:r>
      <w:r w:rsidR="003E17F5" w:rsidRPr="005E0FF2">
        <w:rPr>
          <w:b/>
          <w:lang w:eastAsia="en-GB"/>
        </w:rPr>
        <w:t xml:space="preserve"> </w:t>
      </w:r>
      <w:r w:rsidR="00B10AD0">
        <w:rPr>
          <w:b/>
          <w:lang w:eastAsia="en-GB"/>
        </w:rPr>
        <w:t xml:space="preserve">should </w:t>
      </w:r>
      <w:r w:rsidR="003E17F5" w:rsidRPr="005E0FF2">
        <w:rPr>
          <w:b/>
          <w:lang w:eastAsia="en-GB"/>
        </w:rPr>
        <w:t xml:space="preserve">broaden the mandate of the NHRC and allow it to investigate all alleged human rights violations, including those committed by State military and security actors. The State party </w:t>
      </w:r>
      <w:r w:rsidR="00790CF4">
        <w:rPr>
          <w:b/>
          <w:lang w:eastAsia="en-GB"/>
        </w:rPr>
        <w:t xml:space="preserve">should also </w:t>
      </w:r>
      <w:r w:rsidR="003E17F5" w:rsidRPr="005E0FF2">
        <w:rPr>
          <w:b/>
          <w:lang w:eastAsia="en-GB"/>
        </w:rPr>
        <w:t xml:space="preserve">provide the NHRC with sufficient financial and human resources to allow it to impartially and independently fulfil its mandate in line with </w:t>
      </w:r>
      <w:r w:rsidR="003E17F5" w:rsidRPr="005E0FF2">
        <w:rPr>
          <w:b/>
          <w:bCs/>
          <w:lang w:eastAsia="en-GB"/>
        </w:rPr>
        <w:t xml:space="preserve">the Paris Principles (General Assembly resolution 48/134, annex). </w:t>
      </w:r>
    </w:p>
    <w:p w:rsidR="003E17F5" w:rsidRPr="0082691C" w:rsidRDefault="003E17F5" w:rsidP="0082691C">
      <w:pPr>
        <w:pStyle w:val="SingleTxtG"/>
        <w:rPr>
          <w:b/>
        </w:rPr>
      </w:pPr>
      <w:r w:rsidRPr="0082691C">
        <w:rPr>
          <w:b/>
        </w:rPr>
        <w:t xml:space="preserve">Domestic </w:t>
      </w:r>
      <w:r w:rsidR="00D13A6B">
        <w:rPr>
          <w:b/>
        </w:rPr>
        <w:t>a</w:t>
      </w:r>
      <w:r w:rsidRPr="0082691C">
        <w:rPr>
          <w:b/>
        </w:rPr>
        <w:t>pplicability of the Covenant and right to an effective remedy</w:t>
      </w:r>
    </w:p>
    <w:p w:rsidR="003E17F5" w:rsidRPr="007E0869" w:rsidRDefault="001D7A64" w:rsidP="001D7A64">
      <w:pPr>
        <w:pStyle w:val="SingleTxtG"/>
        <w:rPr>
          <w:color w:val="FF0000"/>
        </w:rPr>
      </w:pPr>
      <w:r w:rsidRPr="007E0869">
        <w:t>7.</w:t>
      </w:r>
      <w:r w:rsidRPr="007E0869">
        <w:tab/>
      </w:r>
      <w:r w:rsidR="003E17F5">
        <w:t>T</w:t>
      </w:r>
      <w:r w:rsidR="003E17F5" w:rsidRPr="00E95BB0">
        <w:t xml:space="preserve">he Committee </w:t>
      </w:r>
      <w:r w:rsidR="003E17F5">
        <w:t xml:space="preserve">is </w:t>
      </w:r>
      <w:r w:rsidR="003E17F5" w:rsidRPr="00E95BB0">
        <w:t>concern</w:t>
      </w:r>
      <w:r w:rsidR="003E17F5">
        <w:t>ed</w:t>
      </w:r>
      <w:r w:rsidR="003E17F5" w:rsidRPr="00E95BB0">
        <w:t xml:space="preserve"> that </w:t>
      </w:r>
      <w:r w:rsidR="005C6CAC">
        <w:t xml:space="preserve">not </w:t>
      </w:r>
      <w:r w:rsidR="003E17F5">
        <w:t xml:space="preserve">all of </w:t>
      </w:r>
      <w:r w:rsidR="003E17F5" w:rsidRPr="00E95BB0">
        <w:t xml:space="preserve">the rights protected by the Covenant have been </w:t>
      </w:r>
      <w:r w:rsidR="003E17F5">
        <w:t xml:space="preserve">given full effect through domestic law and that some domestic legislation contains provisions contrary to the rights in the Covenant. </w:t>
      </w:r>
      <w:r w:rsidR="00D00977">
        <w:t xml:space="preserve">It </w:t>
      </w:r>
      <w:r w:rsidR="003E17F5">
        <w:t xml:space="preserve">is also concerned at the lack of </w:t>
      </w:r>
      <w:r w:rsidR="00241640">
        <w:t xml:space="preserve">information on </w:t>
      </w:r>
      <w:r w:rsidR="003E17F5">
        <w:t xml:space="preserve">cases </w:t>
      </w:r>
      <w:r w:rsidR="00241640">
        <w:t xml:space="preserve">which </w:t>
      </w:r>
      <w:r w:rsidR="003E17F5">
        <w:t>demonstrat</w:t>
      </w:r>
      <w:r w:rsidR="00241640">
        <w:t>e</w:t>
      </w:r>
      <w:r w:rsidR="003E17F5">
        <w:t xml:space="preserve"> </w:t>
      </w:r>
      <w:r w:rsidR="00E83919" w:rsidRPr="00D11E98">
        <w:rPr>
          <w:lang w:val="en-US"/>
        </w:rPr>
        <w:t>that domestic</w:t>
      </w:r>
      <w:r w:rsidR="00E83919">
        <w:rPr>
          <w:b/>
          <w:bCs/>
          <w:lang w:val="en-US"/>
        </w:rPr>
        <w:t xml:space="preserve"> </w:t>
      </w:r>
      <w:r w:rsidR="003E17F5">
        <w:t xml:space="preserve">courts </w:t>
      </w:r>
      <w:r w:rsidR="00E83919">
        <w:rPr>
          <w:lang w:val="en-US"/>
        </w:rPr>
        <w:t xml:space="preserve">are </w:t>
      </w:r>
      <w:r w:rsidR="003E17F5">
        <w:t xml:space="preserve">upholding the rights in the Covenant </w:t>
      </w:r>
      <w:r w:rsidR="003E17F5" w:rsidRPr="004011DE">
        <w:rPr>
          <w:rFonts w:eastAsia="Calibri"/>
          <w:bCs/>
        </w:rPr>
        <w:t>(art. 2).</w:t>
      </w:r>
    </w:p>
    <w:p w:rsidR="003E17F5" w:rsidRPr="00162A40" w:rsidRDefault="001D7A64" w:rsidP="001D7A64">
      <w:pPr>
        <w:pStyle w:val="SingleTxtG"/>
      </w:pPr>
      <w:r w:rsidRPr="003310F9">
        <w:rPr>
          <w:b/>
        </w:rPr>
        <w:t>8.</w:t>
      </w:r>
      <w:r w:rsidRPr="003310F9">
        <w:rPr>
          <w:b/>
        </w:rPr>
        <w:tab/>
      </w:r>
      <w:r w:rsidR="003E17F5" w:rsidRPr="00AE5654">
        <w:rPr>
          <w:rFonts w:eastAsia="Calibri"/>
          <w:b/>
          <w:bCs/>
        </w:rPr>
        <w:t xml:space="preserve">The State party should </w:t>
      </w:r>
      <w:r w:rsidR="003E17F5">
        <w:rPr>
          <w:rFonts w:eastAsia="Calibri"/>
          <w:b/>
          <w:bCs/>
        </w:rPr>
        <w:t xml:space="preserve">adopt domestic legislation enabling the implementation of all of the rights in the Covenant and undertake a </w:t>
      </w:r>
      <w:r w:rsidR="00E83919">
        <w:rPr>
          <w:rFonts w:eastAsia="Calibri"/>
          <w:b/>
          <w:bCs/>
          <w:lang w:val="en-US"/>
        </w:rPr>
        <w:t xml:space="preserve">comprehensive </w:t>
      </w:r>
      <w:r w:rsidR="003E17F5">
        <w:rPr>
          <w:rFonts w:eastAsia="Calibri"/>
          <w:b/>
          <w:bCs/>
        </w:rPr>
        <w:t xml:space="preserve">review of its legislation to bring conflicting provisions in line with the Covenant. </w:t>
      </w:r>
      <w:r w:rsidR="003E17F5" w:rsidRPr="00DF1BA5">
        <w:rPr>
          <w:rFonts w:eastAsia="Calibri"/>
          <w:b/>
          <w:bCs/>
        </w:rPr>
        <w:t xml:space="preserve">The State party should </w:t>
      </w:r>
      <w:r w:rsidR="003E17F5">
        <w:rPr>
          <w:rFonts w:eastAsia="Calibri"/>
          <w:b/>
          <w:bCs/>
        </w:rPr>
        <w:t xml:space="preserve">also </w:t>
      </w:r>
      <w:r w:rsidR="003E17F5" w:rsidRPr="00DF1BA5">
        <w:rPr>
          <w:rFonts w:eastAsia="Calibri"/>
          <w:b/>
          <w:bCs/>
        </w:rPr>
        <w:t xml:space="preserve">raise awareness about the </w:t>
      </w:r>
      <w:r w:rsidR="003E17F5">
        <w:rPr>
          <w:rFonts w:eastAsia="Calibri"/>
          <w:b/>
          <w:bCs/>
        </w:rPr>
        <w:t xml:space="preserve">rights in the </w:t>
      </w:r>
      <w:r w:rsidR="003E17F5" w:rsidRPr="00DF1BA5">
        <w:rPr>
          <w:rFonts w:eastAsia="Calibri"/>
          <w:b/>
          <w:bCs/>
        </w:rPr>
        <w:t xml:space="preserve">Covenant </w:t>
      </w:r>
      <w:r w:rsidR="003E17F5">
        <w:rPr>
          <w:rFonts w:eastAsia="Calibri"/>
          <w:b/>
          <w:bCs/>
        </w:rPr>
        <w:t xml:space="preserve">and domestic law giving effect to these rights </w:t>
      </w:r>
      <w:r w:rsidR="003E17F5" w:rsidRPr="00DF1BA5">
        <w:rPr>
          <w:rFonts w:eastAsia="Calibri"/>
          <w:b/>
          <w:bCs/>
        </w:rPr>
        <w:t xml:space="preserve">among judges, lawyers and prosecutors to ensure that </w:t>
      </w:r>
      <w:r w:rsidR="003E17F5">
        <w:rPr>
          <w:rFonts w:eastAsia="Calibri"/>
          <w:b/>
          <w:bCs/>
        </w:rPr>
        <w:t>rights guaranteed in the Covenant are upheld by the</w:t>
      </w:r>
      <w:r w:rsidR="003E17F5" w:rsidRPr="00DF1BA5">
        <w:rPr>
          <w:rFonts w:eastAsia="Calibri"/>
          <w:b/>
          <w:bCs/>
        </w:rPr>
        <w:t xml:space="preserve"> courts</w:t>
      </w:r>
      <w:r w:rsidR="00E83919">
        <w:rPr>
          <w:rFonts w:eastAsia="Calibri" w:hint="cs"/>
          <w:b/>
          <w:bCs/>
          <w:rtl/>
        </w:rPr>
        <w:t>.</w:t>
      </w:r>
      <w:r w:rsidR="003E17F5" w:rsidRPr="00AE5654">
        <w:rPr>
          <w:rFonts w:eastAsia="Calibri"/>
          <w:b/>
          <w:bCs/>
        </w:rPr>
        <w:t xml:space="preserve"> It should also consider acceding to the First Optional Protocol to the Covenant, which establishes an individual complaint mechanism.</w:t>
      </w:r>
    </w:p>
    <w:p w:rsidR="003E17F5" w:rsidRPr="00162A40" w:rsidRDefault="003E17F5" w:rsidP="001D7A64">
      <w:pPr>
        <w:pStyle w:val="SingleTxtG"/>
      </w:pPr>
      <w:r>
        <w:rPr>
          <w:rFonts w:eastAsia="Calibri"/>
          <w:b/>
          <w:bCs/>
        </w:rPr>
        <w:t>Counter</w:t>
      </w:r>
      <w:r w:rsidR="00D00977">
        <w:rPr>
          <w:rFonts w:eastAsia="Calibri"/>
          <w:b/>
          <w:bCs/>
        </w:rPr>
        <w:t>-</w:t>
      </w:r>
      <w:r>
        <w:rPr>
          <w:rFonts w:eastAsia="Calibri"/>
          <w:b/>
          <w:bCs/>
        </w:rPr>
        <w:t>terrorism</w:t>
      </w:r>
    </w:p>
    <w:p w:rsidR="003E17F5" w:rsidRPr="00497FA8" w:rsidRDefault="001D7A64" w:rsidP="001D7A64">
      <w:pPr>
        <w:pStyle w:val="SingleTxtG"/>
        <w:rPr>
          <w:b/>
        </w:rPr>
      </w:pPr>
      <w:r w:rsidRPr="001D7A64">
        <w:t>9.</w:t>
      </w:r>
      <w:r w:rsidRPr="001D7A64">
        <w:tab/>
      </w:r>
      <w:r w:rsidR="003E17F5">
        <w:t>The Committee is concerned about the use of unclear terminology in counter</w:t>
      </w:r>
      <w:r w:rsidR="003A0365">
        <w:t>-</w:t>
      </w:r>
      <w:r w:rsidR="003E17F5">
        <w:t>terrorism legislation such as in the Special Powers Act of 1974</w:t>
      </w:r>
      <w:r w:rsidR="00E83919">
        <w:rPr>
          <w:rFonts w:hint="cs"/>
          <w:rtl/>
        </w:rPr>
        <w:t>,</w:t>
      </w:r>
      <w:r w:rsidR="003E17F5">
        <w:t xml:space="preserve"> which grants the State broad powers of arrest and detention for the vague term “prejudicial acts”</w:t>
      </w:r>
      <w:r w:rsidR="00E83919">
        <w:rPr>
          <w:rFonts w:hint="cs"/>
          <w:rtl/>
        </w:rPr>
        <w:t>,</w:t>
      </w:r>
      <w:r w:rsidR="003E17F5">
        <w:t xml:space="preserve"> and the broad definition of “terrorist act” in the </w:t>
      </w:r>
      <w:r w:rsidR="003E17F5" w:rsidRPr="00F46CDA">
        <w:t xml:space="preserve">Anti-Terrorism Act </w:t>
      </w:r>
      <w:r w:rsidR="003E17F5">
        <w:t xml:space="preserve">of </w:t>
      </w:r>
      <w:r w:rsidR="003E17F5" w:rsidRPr="00F46CDA">
        <w:t>2009</w:t>
      </w:r>
      <w:r w:rsidR="003E17F5">
        <w:t xml:space="preserve">, which can lend itself to arbitrary and abusive implementation. The Committee is concerned that the Anti-Terrorism Amendment Bill (2012) which amended the Anti-Terrorism Act of 2009 increased the penalty for financing terrorism to allow </w:t>
      </w:r>
      <w:r w:rsidR="00E83919">
        <w:rPr>
          <w:lang w:val="en-US"/>
        </w:rPr>
        <w:t xml:space="preserve">for </w:t>
      </w:r>
      <w:r w:rsidR="003E17F5">
        <w:t xml:space="preserve">a maximum punishment of the death penalty. </w:t>
      </w:r>
      <w:r w:rsidR="00D00977">
        <w:t xml:space="preserve">It </w:t>
      </w:r>
      <w:r w:rsidR="003E17F5">
        <w:t xml:space="preserve">is further concerned by reports that these laws are used to stifle speech of journalists and human rights defenders </w:t>
      </w:r>
      <w:r w:rsidR="003E17F5" w:rsidRPr="00471AD1">
        <w:rPr>
          <w:rFonts w:eastAsia="Calibri"/>
        </w:rPr>
        <w:t>(arts.</w:t>
      </w:r>
      <w:r w:rsidR="005C6CAC">
        <w:rPr>
          <w:rFonts w:eastAsia="Calibri"/>
        </w:rPr>
        <w:t xml:space="preserve"> 6</w:t>
      </w:r>
      <w:r w:rsidR="003E17F5">
        <w:rPr>
          <w:rFonts w:eastAsia="Calibri"/>
        </w:rPr>
        <w:t>,</w:t>
      </w:r>
      <w:r w:rsidR="00100C27">
        <w:rPr>
          <w:rFonts w:eastAsia="Calibri"/>
        </w:rPr>
        <w:t xml:space="preserve"> </w:t>
      </w:r>
      <w:r w:rsidR="003E17F5">
        <w:rPr>
          <w:rFonts w:eastAsia="Calibri"/>
        </w:rPr>
        <w:t>9, 14</w:t>
      </w:r>
      <w:r w:rsidR="00D13A6B">
        <w:rPr>
          <w:rFonts w:eastAsia="Calibri"/>
        </w:rPr>
        <w:t xml:space="preserve"> and 19</w:t>
      </w:r>
      <w:r w:rsidR="003E17F5" w:rsidRPr="00471AD1">
        <w:rPr>
          <w:rFonts w:eastAsia="Calibri"/>
        </w:rPr>
        <w:t>).</w:t>
      </w:r>
    </w:p>
    <w:p w:rsidR="00EA4B2F" w:rsidRDefault="001D7A64" w:rsidP="00034E47">
      <w:pPr>
        <w:pStyle w:val="SingleTxtG"/>
        <w:rPr>
          <w:rFonts w:eastAsia="Calibri"/>
          <w:b/>
        </w:rPr>
      </w:pPr>
      <w:r>
        <w:rPr>
          <w:rFonts w:eastAsia="Calibri"/>
          <w:b/>
          <w:lang w:eastAsia="de-DE"/>
        </w:rPr>
        <w:t>10.</w:t>
      </w:r>
      <w:r>
        <w:rPr>
          <w:rFonts w:eastAsia="Calibri"/>
          <w:b/>
          <w:lang w:eastAsia="de-DE"/>
        </w:rPr>
        <w:tab/>
      </w:r>
      <w:r w:rsidR="003E17F5">
        <w:rPr>
          <w:rFonts w:eastAsia="Calibri"/>
          <w:b/>
        </w:rPr>
        <w:t>The S</w:t>
      </w:r>
      <w:r w:rsidR="003E17F5" w:rsidRPr="00471AD1">
        <w:rPr>
          <w:rFonts w:eastAsia="Calibri"/>
          <w:b/>
        </w:rPr>
        <w:t xml:space="preserve">tate party </w:t>
      </w:r>
      <w:r w:rsidR="003E17F5">
        <w:rPr>
          <w:rFonts w:eastAsia="Calibri"/>
          <w:b/>
        </w:rPr>
        <w:t>should ensure</w:t>
      </w:r>
      <w:r w:rsidR="00EA4B2F">
        <w:rPr>
          <w:rFonts w:eastAsia="Calibri"/>
          <w:b/>
        </w:rPr>
        <w:t xml:space="preserve"> that:</w:t>
      </w:r>
    </w:p>
    <w:p w:rsidR="00EA4B2F" w:rsidRDefault="003E17F5" w:rsidP="003310F9">
      <w:pPr>
        <w:pStyle w:val="SingleTxtG"/>
        <w:ind w:firstLine="567"/>
        <w:rPr>
          <w:rFonts w:eastAsia="Calibri"/>
          <w:b/>
          <w:lang w:eastAsia="de-DE"/>
        </w:rPr>
      </w:pPr>
      <w:r>
        <w:rPr>
          <w:rFonts w:eastAsia="Calibri"/>
          <w:b/>
        </w:rPr>
        <w:t xml:space="preserve">(a) </w:t>
      </w:r>
      <w:r w:rsidR="003A0365">
        <w:rPr>
          <w:rFonts w:eastAsia="Calibri"/>
          <w:b/>
        </w:rPr>
        <w:tab/>
      </w:r>
      <w:proofErr w:type="gramStart"/>
      <w:r w:rsidRPr="00471AD1">
        <w:rPr>
          <w:rFonts w:eastAsia="Calibri"/>
          <w:b/>
        </w:rPr>
        <w:t>its</w:t>
      </w:r>
      <w:proofErr w:type="gramEnd"/>
      <w:r w:rsidRPr="00471AD1">
        <w:rPr>
          <w:rFonts w:eastAsia="Calibri"/>
          <w:b/>
        </w:rPr>
        <w:t xml:space="preserve"> counter-terrorism legislation </w:t>
      </w:r>
      <w:r>
        <w:rPr>
          <w:rFonts w:eastAsia="Calibri"/>
          <w:b/>
        </w:rPr>
        <w:t>is in</w:t>
      </w:r>
      <w:r w:rsidRPr="00471AD1">
        <w:rPr>
          <w:rFonts w:eastAsia="Calibri"/>
          <w:b/>
        </w:rPr>
        <w:t xml:space="preserve"> ful</w:t>
      </w:r>
      <w:r>
        <w:rPr>
          <w:rFonts w:eastAsia="Calibri"/>
          <w:b/>
        </w:rPr>
        <w:t>l conformity with the Covenant</w:t>
      </w:r>
      <w:r w:rsidRPr="00003640">
        <w:rPr>
          <w:rFonts w:eastAsia="Calibri"/>
          <w:b/>
        </w:rPr>
        <w:t>;</w:t>
      </w:r>
      <w:r w:rsidRPr="00471AD1">
        <w:rPr>
          <w:rFonts w:eastAsia="Calibri"/>
          <w:b/>
          <w:lang w:eastAsia="de-DE"/>
        </w:rPr>
        <w:t xml:space="preserve"> </w:t>
      </w:r>
    </w:p>
    <w:p w:rsidR="00EA4B2F" w:rsidRDefault="003E17F5" w:rsidP="003310F9">
      <w:pPr>
        <w:pStyle w:val="SingleTxtG"/>
        <w:ind w:firstLine="567"/>
        <w:rPr>
          <w:rFonts w:eastAsia="Calibri"/>
          <w:b/>
        </w:rPr>
      </w:pPr>
      <w:r>
        <w:rPr>
          <w:rFonts w:eastAsia="Calibri"/>
          <w:b/>
          <w:lang w:eastAsia="de-DE"/>
        </w:rPr>
        <w:t xml:space="preserve">(b) </w:t>
      </w:r>
      <w:r w:rsidR="003A0365">
        <w:rPr>
          <w:rFonts w:eastAsia="Calibri"/>
          <w:b/>
          <w:lang w:eastAsia="de-DE"/>
        </w:rPr>
        <w:tab/>
      </w:r>
      <w:proofErr w:type="gramStart"/>
      <w:r>
        <w:rPr>
          <w:rFonts w:eastAsia="Calibri"/>
          <w:b/>
        </w:rPr>
        <w:t>acts</w:t>
      </w:r>
      <w:proofErr w:type="gramEnd"/>
      <w:r>
        <w:rPr>
          <w:rFonts w:eastAsia="Calibri"/>
          <w:b/>
        </w:rPr>
        <w:t xml:space="preserve"> of terrorism </w:t>
      </w:r>
      <w:r w:rsidRPr="00471AD1">
        <w:rPr>
          <w:rFonts w:eastAsia="Calibri"/>
          <w:b/>
        </w:rPr>
        <w:t>are defined</w:t>
      </w:r>
      <w:r w:rsidR="002D7BB9">
        <w:rPr>
          <w:rFonts w:eastAsia="Calibri"/>
          <w:b/>
        </w:rPr>
        <w:t xml:space="preserve"> in a precise and narrow manner</w:t>
      </w:r>
      <w:r w:rsidR="00EA4B2F">
        <w:rPr>
          <w:rFonts w:eastAsia="Calibri"/>
          <w:b/>
        </w:rPr>
        <w:t>, and that legislation adopted in that context is limited to crimes that would clearly qualify as acts of terrorism</w:t>
      </w:r>
      <w:r w:rsidR="002D7BB9">
        <w:rPr>
          <w:rFonts w:eastAsia="Calibri"/>
          <w:b/>
        </w:rPr>
        <w:t>;</w:t>
      </w:r>
      <w:r w:rsidRPr="00471AD1">
        <w:rPr>
          <w:rFonts w:eastAsia="Calibri"/>
          <w:b/>
        </w:rPr>
        <w:t xml:space="preserve"> </w:t>
      </w:r>
    </w:p>
    <w:p w:rsidR="00EA4B2F" w:rsidRDefault="003E17F5" w:rsidP="003310F9">
      <w:pPr>
        <w:pStyle w:val="SingleTxtG"/>
        <w:ind w:firstLine="567"/>
        <w:rPr>
          <w:rFonts w:eastAsia="MS Mincho"/>
          <w:b/>
          <w:lang w:eastAsia="ja-JP"/>
        </w:rPr>
      </w:pPr>
      <w:r>
        <w:rPr>
          <w:rFonts w:eastAsia="Calibri"/>
          <w:b/>
          <w:lang w:eastAsia="de-DE"/>
        </w:rPr>
        <w:lastRenderedPageBreak/>
        <w:t>(</w:t>
      </w:r>
      <w:r w:rsidR="00D00977">
        <w:rPr>
          <w:rFonts w:eastAsia="Calibri"/>
          <w:b/>
          <w:lang w:eastAsia="de-DE"/>
        </w:rPr>
        <w:t>c</w:t>
      </w:r>
      <w:r>
        <w:rPr>
          <w:rFonts w:eastAsia="Calibri"/>
          <w:b/>
          <w:lang w:eastAsia="de-DE"/>
        </w:rPr>
        <w:t xml:space="preserve">) </w:t>
      </w:r>
      <w:r w:rsidR="003A0365">
        <w:rPr>
          <w:rFonts w:eastAsia="Calibri"/>
          <w:b/>
          <w:lang w:eastAsia="de-DE"/>
        </w:rPr>
        <w:tab/>
      </w:r>
      <w:proofErr w:type="gramStart"/>
      <w:r w:rsidRPr="0098678D">
        <w:rPr>
          <w:rFonts w:eastAsia="Calibri"/>
          <w:b/>
        </w:rPr>
        <w:t>the</w:t>
      </w:r>
      <w:proofErr w:type="gramEnd"/>
      <w:r w:rsidRPr="0098678D">
        <w:rPr>
          <w:rFonts w:eastAsia="Calibri"/>
          <w:b/>
        </w:rPr>
        <w:t xml:space="preserve"> death penalty is </w:t>
      </w:r>
      <w:r w:rsidR="00034E47">
        <w:rPr>
          <w:rFonts w:eastAsia="Calibri"/>
          <w:b/>
        </w:rPr>
        <w:t>not</w:t>
      </w:r>
      <w:r w:rsidR="00034E47" w:rsidRPr="0098678D">
        <w:rPr>
          <w:rFonts w:eastAsia="Calibri"/>
          <w:b/>
        </w:rPr>
        <w:t xml:space="preserve"> </w:t>
      </w:r>
      <w:r w:rsidRPr="0098678D">
        <w:rPr>
          <w:rFonts w:eastAsia="Calibri"/>
          <w:b/>
        </w:rPr>
        <w:t xml:space="preserve">imposed for </w:t>
      </w:r>
      <w:r w:rsidR="00CC1CF3">
        <w:rPr>
          <w:rFonts w:eastAsia="Calibri"/>
          <w:b/>
        </w:rPr>
        <w:t xml:space="preserve">offences, such </w:t>
      </w:r>
      <w:r w:rsidR="00D11E98">
        <w:rPr>
          <w:rFonts w:eastAsia="Calibri"/>
          <w:b/>
        </w:rPr>
        <w:t xml:space="preserve">as the </w:t>
      </w:r>
      <w:r w:rsidR="00CC1CF3">
        <w:rPr>
          <w:rFonts w:eastAsia="Calibri"/>
          <w:b/>
        </w:rPr>
        <w:t xml:space="preserve">financing of terrorism, which do not constitute </w:t>
      </w:r>
      <w:r w:rsidRPr="0098678D">
        <w:rPr>
          <w:rFonts w:eastAsia="Calibri"/>
          <w:b/>
        </w:rPr>
        <w:t>the “most serious crimes”</w:t>
      </w:r>
      <w:r w:rsidRPr="0098678D">
        <w:rPr>
          <w:rFonts w:eastAsia="MS Mincho"/>
          <w:b/>
          <w:lang w:eastAsia="ja-JP"/>
        </w:rPr>
        <w:t xml:space="preserve"> within the meaning of article 6 (2) of the Covenant</w:t>
      </w:r>
      <w:r w:rsidR="00EA4B2F">
        <w:rPr>
          <w:rFonts w:eastAsia="MS Mincho"/>
          <w:b/>
          <w:lang w:eastAsia="ja-JP"/>
        </w:rPr>
        <w:t>;</w:t>
      </w:r>
      <w:r>
        <w:rPr>
          <w:rFonts w:eastAsia="MS Mincho"/>
          <w:b/>
          <w:lang w:eastAsia="ja-JP"/>
        </w:rPr>
        <w:t xml:space="preserve"> and </w:t>
      </w:r>
    </w:p>
    <w:p w:rsidR="003E17F5" w:rsidRDefault="003E17F5" w:rsidP="003310F9">
      <w:pPr>
        <w:pStyle w:val="SingleTxtG"/>
        <w:ind w:firstLine="567"/>
        <w:rPr>
          <w:rFonts w:eastAsia="Calibri"/>
          <w:b/>
          <w:lang w:eastAsia="de-DE"/>
        </w:rPr>
      </w:pPr>
      <w:r>
        <w:rPr>
          <w:rFonts w:eastAsia="MS Mincho"/>
          <w:b/>
          <w:lang w:eastAsia="ja-JP"/>
        </w:rPr>
        <w:t>(</w:t>
      </w:r>
      <w:r w:rsidR="00D00977">
        <w:rPr>
          <w:rFonts w:eastAsia="MS Mincho"/>
          <w:b/>
          <w:lang w:eastAsia="ja-JP"/>
        </w:rPr>
        <w:t>d</w:t>
      </w:r>
      <w:r>
        <w:rPr>
          <w:rFonts w:eastAsia="MS Mincho"/>
          <w:b/>
          <w:lang w:eastAsia="ja-JP"/>
        </w:rPr>
        <w:t xml:space="preserve">) </w:t>
      </w:r>
      <w:r w:rsidR="003A0365">
        <w:rPr>
          <w:rFonts w:eastAsia="MS Mincho"/>
          <w:b/>
          <w:lang w:eastAsia="ja-JP"/>
        </w:rPr>
        <w:tab/>
      </w:r>
      <w:proofErr w:type="gramStart"/>
      <w:r>
        <w:rPr>
          <w:rFonts w:eastAsia="MS Mincho"/>
          <w:b/>
          <w:lang w:eastAsia="ja-JP"/>
        </w:rPr>
        <w:t>counter</w:t>
      </w:r>
      <w:proofErr w:type="gramEnd"/>
      <w:r w:rsidR="003A0365">
        <w:rPr>
          <w:rFonts w:eastAsia="MS Mincho"/>
          <w:b/>
          <w:lang w:eastAsia="ja-JP"/>
        </w:rPr>
        <w:t>-</w:t>
      </w:r>
      <w:r>
        <w:rPr>
          <w:rFonts w:eastAsia="MS Mincho"/>
          <w:b/>
          <w:lang w:eastAsia="ja-JP"/>
        </w:rPr>
        <w:t xml:space="preserve">terrorism measures are not used to restrict freedom of expression and opinion of </w:t>
      </w:r>
      <w:r w:rsidRPr="007D1762">
        <w:rPr>
          <w:b/>
        </w:rPr>
        <w:t>journalists and human rights defenders</w:t>
      </w:r>
      <w:r>
        <w:rPr>
          <w:b/>
        </w:rPr>
        <w:t>.</w:t>
      </w:r>
    </w:p>
    <w:p w:rsidR="003E17F5" w:rsidRPr="00D140E0" w:rsidRDefault="003E17F5" w:rsidP="001D7A64">
      <w:pPr>
        <w:pStyle w:val="SingleTxtG"/>
        <w:rPr>
          <w:b/>
        </w:rPr>
      </w:pPr>
      <w:r w:rsidRPr="004E2CD3">
        <w:rPr>
          <w:b/>
        </w:rPr>
        <w:t xml:space="preserve">Non-discrimination </w:t>
      </w:r>
    </w:p>
    <w:p w:rsidR="003E17F5" w:rsidRDefault="001D7A64" w:rsidP="00091D53">
      <w:pPr>
        <w:pStyle w:val="SingleTxtG"/>
      </w:pPr>
      <w:r>
        <w:t>11.</w:t>
      </w:r>
      <w:r>
        <w:tab/>
      </w:r>
      <w:r w:rsidR="003E17F5" w:rsidRPr="00510D28">
        <w:t xml:space="preserve">While noting that </w:t>
      </w:r>
      <w:r w:rsidR="00064B8D">
        <w:t xml:space="preserve">pursuant to </w:t>
      </w:r>
      <w:r w:rsidR="003E17F5" w:rsidRPr="00B132A6">
        <w:t>article 28</w:t>
      </w:r>
      <w:r w:rsidR="003E17F5" w:rsidRPr="00510D28">
        <w:t xml:space="preserve"> of the Constitution the State will not</w:t>
      </w:r>
      <w:r w:rsidR="003E17F5" w:rsidRPr="00510D28">
        <w:rPr>
          <w:iCs/>
        </w:rPr>
        <w:t xml:space="preserve"> discriminate against citizens on </w:t>
      </w:r>
      <w:r w:rsidR="003E17F5">
        <w:rPr>
          <w:iCs/>
        </w:rPr>
        <w:t xml:space="preserve">the limited </w:t>
      </w:r>
      <w:r w:rsidR="003E17F5" w:rsidRPr="00510D28">
        <w:rPr>
          <w:iCs/>
        </w:rPr>
        <w:t>grounds of “religion, race, caste, sex or place of birth</w:t>
      </w:r>
      <w:r w:rsidR="003E17F5">
        <w:rPr>
          <w:iCs/>
        </w:rPr>
        <w:t>,</w:t>
      </w:r>
      <w:r w:rsidR="003E17F5" w:rsidRPr="00510D28">
        <w:rPr>
          <w:iCs/>
        </w:rPr>
        <w:t>”</w:t>
      </w:r>
      <w:r w:rsidR="003E17F5" w:rsidRPr="00510D28">
        <w:t xml:space="preserve"> </w:t>
      </w:r>
      <w:r w:rsidR="003E17F5" w:rsidRPr="00DB5104">
        <w:t xml:space="preserve">the Committee </w:t>
      </w:r>
      <w:r w:rsidR="003E17F5">
        <w:t xml:space="preserve">is </w:t>
      </w:r>
      <w:r w:rsidR="003E17F5" w:rsidRPr="00DB5104">
        <w:t>concern</w:t>
      </w:r>
      <w:r w:rsidR="003E17F5">
        <w:t>ed</w:t>
      </w:r>
      <w:r w:rsidR="003E17F5" w:rsidRPr="00DB5104">
        <w:t xml:space="preserve"> that </w:t>
      </w:r>
      <w:r w:rsidR="003E17F5" w:rsidRPr="00C23C63">
        <w:t xml:space="preserve">the Anti-Discrimination Bill of 2015 </w:t>
      </w:r>
      <w:r w:rsidR="00091D53">
        <w:t>has not yet been adopted</w:t>
      </w:r>
      <w:r w:rsidR="003E17F5" w:rsidRPr="00DB5104">
        <w:t>, and that discrimination</w:t>
      </w:r>
      <w:r w:rsidR="003E17F5">
        <w:t xml:space="preserve"> </w:t>
      </w:r>
      <w:r w:rsidR="003E17F5" w:rsidRPr="00DB5104">
        <w:t>continues to occur against certain groups</w:t>
      </w:r>
      <w:r w:rsidR="00D13A6B">
        <w:t>,</w:t>
      </w:r>
      <w:r w:rsidR="003E17F5" w:rsidRPr="00DB5104">
        <w:t xml:space="preserve"> such as:</w:t>
      </w:r>
    </w:p>
    <w:p w:rsidR="003E17F5" w:rsidRPr="00620129" w:rsidRDefault="001D7A64" w:rsidP="001D7A64">
      <w:pPr>
        <w:pStyle w:val="SingleTxtG"/>
        <w:rPr>
          <w:b/>
        </w:rPr>
      </w:pPr>
      <w:r>
        <w:tab/>
      </w:r>
      <w:r w:rsidRPr="00620129">
        <w:t>(a)</w:t>
      </w:r>
      <w:r w:rsidRPr="00620129">
        <w:tab/>
      </w:r>
      <w:r w:rsidR="003E17F5">
        <w:t xml:space="preserve">Discriminatory provisions against women continue to exist in law, and laws and Constitutional provisions protecting women are not enforced due in part to patriarchal attitudes in the State party towards women and girls; </w:t>
      </w:r>
    </w:p>
    <w:p w:rsidR="003E17F5" w:rsidRPr="007866BC" w:rsidRDefault="001D7A64" w:rsidP="00091D53">
      <w:pPr>
        <w:pStyle w:val="SingleTxtG"/>
        <w:rPr>
          <w:b/>
        </w:rPr>
      </w:pPr>
      <w:r>
        <w:tab/>
      </w:r>
      <w:r w:rsidRPr="007866BC">
        <w:t>(b)</w:t>
      </w:r>
      <w:r w:rsidRPr="007866BC">
        <w:tab/>
      </w:r>
      <w:r w:rsidR="003E17F5">
        <w:t xml:space="preserve">Attacks on places of worship of religious minorities, extortion, intimidation, harassment </w:t>
      </w:r>
      <w:r w:rsidR="006E05A5">
        <w:t xml:space="preserve">of, </w:t>
      </w:r>
      <w:r w:rsidR="003E17F5">
        <w:t xml:space="preserve">and </w:t>
      </w:r>
      <w:r w:rsidR="003E17F5" w:rsidRPr="00756826">
        <w:t>land grabbing</w:t>
      </w:r>
      <w:r w:rsidR="00D11E98" w:rsidRPr="007E66E3">
        <w:t xml:space="preserve"> </w:t>
      </w:r>
      <w:r w:rsidR="003E17F5" w:rsidRPr="00644830">
        <w:t>from</w:t>
      </w:r>
      <w:r w:rsidR="006E05A5">
        <w:t>,</w:t>
      </w:r>
      <w:r w:rsidR="003E17F5" w:rsidRPr="00644830">
        <w:t xml:space="preserve"> religious minorities</w:t>
      </w:r>
      <w:r w:rsidR="003E17F5" w:rsidRPr="00756826">
        <w:t>;</w:t>
      </w:r>
    </w:p>
    <w:p w:rsidR="003E17F5" w:rsidRPr="007866BC" w:rsidRDefault="001D7A64" w:rsidP="001D7A64">
      <w:pPr>
        <w:pStyle w:val="SingleTxtG"/>
        <w:rPr>
          <w:b/>
        </w:rPr>
      </w:pPr>
      <w:r>
        <w:tab/>
      </w:r>
      <w:r w:rsidRPr="007866BC">
        <w:t>(c)</w:t>
      </w:r>
      <w:r w:rsidRPr="007866BC">
        <w:tab/>
      </w:r>
      <w:r w:rsidR="003E17F5">
        <w:rPr>
          <w:bCs/>
        </w:rPr>
        <w:t>Lack of legal recognition of indigenous peoples, reported discrimination and restrictions on the civil and political rights of indigenous people</w:t>
      </w:r>
      <w:r w:rsidR="002D7BB9">
        <w:rPr>
          <w:bCs/>
        </w:rPr>
        <w:t>s</w:t>
      </w:r>
      <w:r w:rsidR="003E17F5">
        <w:rPr>
          <w:bCs/>
        </w:rPr>
        <w:t>, in particular as it relates to land rights</w:t>
      </w:r>
      <w:r w:rsidR="003E17F5" w:rsidRPr="00234E59">
        <w:rPr>
          <w:bCs/>
        </w:rPr>
        <w:t xml:space="preserve"> and</w:t>
      </w:r>
      <w:r w:rsidR="003E17F5">
        <w:rPr>
          <w:bCs/>
        </w:rPr>
        <w:t xml:space="preserve"> </w:t>
      </w:r>
      <w:r w:rsidR="003E17F5" w:rsidRPr="00234E59">
        <w:rPr>
          <w:bCs/>
        </w:rPr>
        <w:t>participation in politica</w:t>
      </w:r>
      <w:r w:rsidR="003E17F5">
        <w:rPr>
          <w:bCs/>
        </w:rPr>
        <w:t>l and decision making processes</w:t>
      </w:r>
      <w:r w:rsidR="003E17F5">
        <w:t xml:space="preserve">; </w:t>
      </w:r>
    </w:p>
    <w:p w:rsidR="003E17F5" w:rsidRPr="008250AD" w:rsidRDefault="001D7A64" w:rsidP="00091D53">
      <w:pPr>
        <w:pStyle w:val="SingleTxtG"/>
        <w:rPr>
          <w:b/>
        </w:rPr>
      </w:pPr>
      <w:r>
        <w:tab/>
      </w:r>
      <w:r w:rsidRPr="008250AD">
        <w:t>(d)</w:t>
      </w:r>
      <w:r w:rsidRPr="008250AD">
        <w:tab/>
      </w:r>
      <w:r w:rsidR="003E17F5">
        <w:t xml:space="preserve">Persistence of </w:t>
      </w:r>
      <w:r w:rsidR="00091D53">
        <w:t xml:space="preserve">a </w:t>
      </w:r>
      <w:r w:rsidR="003E17F5">
        <w:t>caste based system resulting in limited employment and housing opportunities for people from so-called lower castes who experience extreme poverty</w:t>
      </w:r>
      <w:r w:rsidR="006E05A5">
        <w:t>,</w:t>
      </w:r>
      <w:r w:rsidR="003E17F5">
        <w:t xml:space="preserve"> social stigma and marginalization;</w:t>
      </w:r>
    </w:p>
    <w:p w:rsidR="003E17F5" w:rsidRPr="005E0FF2" w:rsidRDefault="001D7A64" w:rsidP="001D7A64">
      <w:pPr>
        <w:pStyle w:val="SingleTxtG"/>
        <w:rPr>
          <w:b/>
        </w:rPr>
      </w:pPr>
      <w:r>
        <w:tab/>
      </w:r>
      <w:r w:rsidRPr="005E0FF2">
        <w:t>(e)</w:t>
      </w:r>
      <w:r w:rsidRPr="005E0FF2">
        <w:tab/>
      </w:r>
      <w:r w:rsidR="003E17F5">
        <w:rPr>
          <w:lang w:eastAsia="en-GB"/>
        </w:rPr>
        <w:t xml:space="preserve">Criminalization under section 377 of the Penal code of consensual sexual acts between same sex couples which are termed “unnatural behaviour,” stigmatization, harassment and violence against lesbian, gay, bisexual and transgender (LGBT) persons, barriers to assistance in seeking employment </w:t>
      </w:r>
      <w:r w:rsidR="003E17F5" w:rsidRPr="00003640">
        <w:rPr>
          <w:lang w:eastAsia="en-GB"/>
        </w:rPr>
        <w:t>of “</w:t>
      </w:r>
      <w:proofErr w:type="spellStart"/>
      <w:r w:rsidR="003E17F5" w:rsidRPr="00003640">
        <w:rPr>
          <w:lang w:eastAsia="en-GB"/>
        </w:rPr>
        <w:t>hijras</w:t>
      </w:r>
      <w:proofErr w:type="spellEnd"/>
      <w:r w:rsidR="003E17F5" w:rsidRPr="00003640">
        <w:rPr>
          <w:lang w:eastAsia="en-GB"/>
        </w:rPr>
        <w:t>”</w:t>
      </w:r>
      <w:r w:rsidR="003E17F5">
        <w:rPr>
          <w:lang w:eastAsia="en-GB"/>
        </w:rPr>
        <w:t xml:space="preserve"> who are considered as transgender persons by the administration of invasive and humiliating medical examinations to prove transgender status (arts. 2, 3, 26 and 27).</w:t>
      </w:r>
    </w:p>
    <w:p w:rsidR="003E17F5" w:rsidRPr="00C23C63" w:rsidRDefault="001D7A64" w:rsidP="001D7A64">
      <w:pPr>
        <w:pStyle w:val="SingleTxtG"/>
        <w:rPr>
          <w:b/>
        </w:rPr>
      </w:pPr>
      <w:r w:rsidRPr="00C23C63">
        <w:rPr>
          <w:b/>
        </w:rPr>
        <w:t>12.</w:t>
      </w:r>
      <w:r w:rsidRPr="00C23C63">
        <w:rPr>
          <w:b/>
        </w:rPr>
        <w:tab/>
      </w:r>
      <w:r w:rsidR="003E17F5" w:rsidRPr="005E0FF2">
        <w:rPr>
          <w:b/>
        </w:rPr>
        <w:t xml:space="preserve">The State party </w:t>
      </w:r>
      <w:r w:rsidR="00D00977">
        <w:rPr>
          <w:b/>
        </w:rPr>
        <w:t xml:space="preserve">should </w:t>
      </w:r>
      <w:r w:rsidR="003E17F5" w:rsidRPr="005E0FF2">
        <w:rPr>
          <w:b/>
        </w:rPr>
        <w:t>ensure that the Anti-Discrimination Bill of 2015 protects against</w:t>
      </w:r>
      <w:r w:rsidR="003E17F5" w:rsidRPr="005E0FF2">
        <w:rPr>
          <w:rFonts w:eastAsia="Calibri"/>
          <w:b/>
          <w:bCs/>
        </w:rPr>
        <w:t xml:space="preserve"> direct and indirect discrimination in the public and private sphere based on a comprehensive list of grounds for discrimination, including colour, descent, caste, national or ethnic origin, religion, sexual orientation and gender identity, disability </w:t>
      </w:r>
      <w:r w:rsidR="0080092B">
        <w:rPr>
          <w:rFonts w:eastAsia="Calibri"/>
          <w:b/>
          <w:bCs/>
        </w:rPr>
        <w:t xml:space="preserve">and other status, </w:t>
      </w:r>
      <w:r w:rsidR="003E17F5" w:rsidRPr="005E0FF2">
        <w:rPr>
          <w:rFonts w:eastAsia="Calibri"/>
          <w:b/>
          <w:bCs/>
        </w:rPr>
        <w:t>and provide for effective remedies in case of violations. The State party should also accelerate the adoption of this bill and ensure its effective implementation.</w:t>
      </w:r>
      <w:r w:rsidR="00F233A2">
        <w:rPr>
          <w:rFonts w:eastAsia="Calibri"/>
          <w:b/>
          <w:bCs/>
        </w:rPr>
        <w:t xml:space="preserve"> </w:t>
      </w:r>
      <w:r w:rsidR="003E17F5">
        <w:rPr>
          <w:b/>
        </w:rPr>
        <w:t xml:space="preserve"> </w:t>
      </w:r>
      <w:r w:rsidR="00F233A2">
        <w:rPr>
          <w:b/>
        </w:rPr>
        <w:t xml:space="preserve">It should also </w:t>
      </w:r>
      <w:r w:rsidR="00F233A2">
        <w:rPr>
          <w:rFonts w:eastAsia="Calibri"/>
          <w:b/>
          <w:bCs/>
        </w:rPr>
        <w:t xml:space="preserve">develop education campaigns for schools, government officials and the general public to promote </w:t>
      </w:r>
      <w:r w:rsidR="00F233A2" w:rsidRPr="00471AD1">
        <w:rPr>
          <w:rFonts w:eastAsia="Calibri"/>
          <w:b/>
          <w:bCs/>
          <w:color w:val="000000"/>
          <w:lang w:eastAsia="en-GB"/>
        </w:rPr>
        <w:t>tolerance</w:t>
      </w:r>
      <w:r w:rsidR="006E05A5">
        <w:rPr>
          <w:rFonts w:eastAsia="Calibri"/>
          <w:b/>
          <w:bCs/>
          <w:color w:val="000000"/>
          <w:lang w:eastAsia="en-GB"/>
        </w:rPr>
        <w:t xml:space="preserve"> and</w:t>
      </w:r>
      <w:r w:rsidR="0080092B">
        <w:rPr>
          <w:rFonts w:eastAsia="Calibri"/>
          <w:b/>
          <w:bCs/>
          <w:color w:val="000000"/>
          <w:lang w:eastAsia="en-GB"/>
        </w:rPr>
        <w:t xml:space="preserve"> appreciation</w:t>
      </w:r>
      <w:r w:rsidR="00F233A2" w:rsidRPr="00471AD1">
        <w:rPr>
          <w:rFonts w:eastAsia="Calibri"/>
          <w:b/>
          <w:bCs/>
          <w:color w:val="000000"/>
          <w:lang w:eastAsia="en-GB"/>
        </w:rPr>
        <w:t xml:space="preserve"> for diversity</w:t>
      </w:r>
      <w:r w:rsidR="00F233A2">
        <w:rPr>
          <w:rFonts w:eastAsia="Calibri"/>
          <w:b/>
          <w:bCs/>
        </w:rPr>
        <w:t xml:space="preserve"> and non-discrimination. </w:t>
      </w:r>
      <w:r w:rsidR="00D00977">
        <w:rPr>
          <w:b/>
        </w:rPr>
        <w:t>Furthermore,</w:t>
      </w:r>
      <w:r w:rsidR="00D00977">
        <w:rPr>
          <w:rFonts w:eastAsia="Calibri"/>
          <w:b/>
          <w:bCs/>
        </w:rPr>
        <w:t xml:space="preserve"> </w:t>
      </w:r>
      <w:r w:rsidR="003E17F5" w:rsidRPr="00C23C63">
        <w:rPr>
          <w:rFonts w:eastAsia="Calibri"/>
          <w:b/>
          <w:bCs/>
        </w:rPr>
        <w:t>the State party</w:t>
      </w:r>
      <w:r w:rsidR="00D00977">
        <w:rPr>
          <w:rFonts w:eastAsia="Calibri"/>
          <w:b/>
          <w:bCs/>
        </w:rPr>
        <w:t xml:space="preserve"> should</w:t>
      </w:r>
      <w:r w:rsidR="003E17F5" w:rsidRPr="00C23C63">
        <w:rPr>
          <w:rFonts w:eastAsia="Calibri"/>
          <w:b/>
          <w:bCs/>
        </w:rPr>
        <w:t>:</w:t>
      </w:r>
    </w:p>
    <w:p w:rsidR="003E17F5" w:rsidRPr="009F5666" w:rsidRDefault="001D7A64" w:rsidP="00091D53">
      <w:pPr>
        <w:pStyle w:val="SingleTxtG"/>
        <w:rPr>
          <w:b/>
        </w:rPr>
      </w:pPr>
      <w:r>
        <w:tab/>
      </w:r>
      <w:r w:rsidRPr="001D7A64">
        <w:rPr>
          <w:b/>
        </w:rPr>
        <w:t>(a)</w:t>
      </w:r>
      <w:r w:rsidRPr="009F5666">
        <w:tab/>
      </w:r>
      <w:r w:rsidR="003E17F5">
        <w:rPr>
          <w:rFonts w:eastAsia="Calibri"/>
          <w:b/>
          <w:bCs/>
        </w:rPr>
        <w:t xml:space="preserve"> Undertake leg</w:t>
      </w:r>
      <w:r w:rsidR="0080092B">
        <w:rPr>
          <w:rFonts w:eastAsia="Calibri"/>
          <w:b/>
          <w:bCs/>
        </w:rPr>
        <w:t xml:space="preserve">islative </w:t>
      </w:r>
      <w:r w:rsidR="003E17F5">
        <w:rPr>
          <w:rFonts w:eastAsia="Calibri"/>
          <w:b/>
          <w:bCs/>
        </w:rPr>
        <w:t>reform</w:t>
      </w:r>
      <w:r w:rsidR="0080092B">
        <w:rPr>
          <w:rFonts w:eastAsia="Calibri"/>
          <w:b/>
          <w:bCs/>
        </w:rPr>
        <w:t>s</w:t>
      </w:r>
      <w:r w:rsidR="003E17F5">
        <w:rPr>
          <w:rFonts w:eastAsia="Calibri"/>
          <w:b/>
          <w:bCs/>
        </w:rPr>
        <w:t xml:space="preserve"> to eliminate direct and indirect discriminatory leg</w:t>
      </w:r>
      <w:r w:rsidR="0080092B">
        <w:rPr>
          <w:rFonts w:eastAsia="Calibri"/>
          <w:b/>
          <w:bCs/>
        </w:rPr>
        <w:t xml:space="preserve">islative </w:t>
      </w:r>
      <w:r w:rsidR="003E17F5">
        <w:rPr>
          <w:rFonts w:eastAsia="Calibri"/>
          <w:b/>
          <w:bCs/>
        </w:rPr>
        <w:t>provisions against women, implement existing leg</w:t>
      </w:r>
      <w:r w:rsidR="0080092B">
        <w:rPr>
          <w:rFonts w:eastAsia="Calibri"/>
          <w:b/>
          <w:bCs/>
        </w:rPr>
        <w:t xml:space="preserve">islative </w:t>
      </w:r>
      <w:r w:rsidR="003E17F5">
        <w:rPr>
          <w:rFonts w:eastAsia="Calibri"/>
          <w:b/>
          <w:bCs/>
        </w:rPr>
        <w:t>protections for women and girls, end entrenched patriarchal attitude in society through educational campaigns on the equality of women</w:t>
      </w:r>
      <w:r w:rsidR="00091D53">
        <w:rPr>
          <w:rFonts w:eastAsia="Calibri"/>
          <w:b/>
          <w:bCs/>
        </w:rPr>
        <w:t>, and</w:t>
      </w:r>
      <w:r w:rsidR="00091D53" w:rsidRPr="00091D53">
        <w:rPr>
          <w:b/>
        </w:rPr>
        <w:t xml:space="preserve"> </w:t>
      </w:r>
      <w:r w:rsidR="00091D53" w:rsidRPr="001E6009">
        <w:rPr>
          <w:b/>
        </w:rPr>
        <w:t xml:space="preserve">ensure that the application of religious personal status laws do not violate the right to non-discrimination </w:t>
      </w:r>
      <w:r w:rsidR="00091D53">
        <w:rPr>
          <w:b/>
        </w:rPr>
        <w:t>of women and girls</w:t>
      </w:r>
      <w:r w:rsidR="00091D53" w:rsidRPr="001E6009">
        <w:rPr>
          <w:b/>
        </w:rPr>
        <w:t>;</w:t>
      </w:r>
      <w:r w:rsidR="003E17F5">
        <w:rPr>
          <w:rFonts w:eastAsia="Calibri"/>
          <w:b/>
          <w:bCs/>
        </w:rPr>
        <w:t xml:space="preserve"> </w:t>
      </w:r>
    </w:p>
    <w:p w:rsidR="003E17F5" w:rsidRDefault="001D7A64" w:rsidP="00091D53">
      <w:pPr>
        <w:pStyle w:val="SingleTxtG"/>
        <w:rPr>
          <w:b/>
        </w:rPr>
      </w:pPr>
      <w:r>
        <w:tab/>
      </w:r>
      <w:r w:rsidRPr="001D7A64">
        <w:rPr>
          <w:b/>
        </w:rPr>
        <w:t>(b)</w:t>
      </w:r>
      <w:r w:rsidRPr="001D7A64">
        <w:rPr>
          <w:b/>
        </w:rPr>
        <w:tab/>
      </w:r>
      <w:r w:rsidR="003E17F5">
        <w:rPr>
          <w:b/>
        </w:rPr>
        <w:t>Protect the safety and security of</w:t>
      </w:r>
      <w:r w:rsidR="00482925">
        <w:rPr>
          <w:b/>
        </w:rPr>
        <w:t xml:space="preserve"> persons belonging to</w:t>
      </w:r>
      <w:r w:rsidR="003E17F5">
        <w:rPr>
          <w:b/>
        </w:rPr>
        <w:t xml:space="preserve"> minority religious groups and ensure their ability to </w:t>
      </w:r>
      <w:r w:rsidR="0080092B">
        <w:rPr>
          <w:b/>
        </w:rPr>
        <w:t xml:space="preserve">fully enjoy </w:t>
      </w:r>
      <w:r w:rsidR="003E17F5">
        <w:rPr>
          <w:b/>
        </w:rPr>
        <w:t>their freedom of religion and to worship without fear of attack</w:t>
      </w:r>
      <w:r w:rsidR="00091D53">
        <w:rPr>
          <w:b/>
        </w:rPr>
        <w:t>;</w:t>
      </w:r>
      <w:r w:rsidR="003E17F5">
        <w:rPr>
          <w:b/>
        </w:rPr>
        <w:t xml:space="preserve"> </w:t>
      </w:r>
    </w:p>
    <w:p w:rsidR="003E17F5" w:rsidRPr="00B65C06" w:rsidRDefault="001D7A64" w:rsidP="00643F36">
      <w:pPr>
        <w:pStyle w:val="SingleTxtG"/>
        <w:rPr>
          <w:b/>
          <w:bCs/>
        </w:rPr>
      </w:pPr>
      <w:r>
        <w:rPr>
          <w:bCs/>
        </w:rPr>
        <w:tab/>
      </w:r>
      <w:r w:rsidRPr="001D7A64">
        <w:rPr>
          <w:b/>
          <w:bCs/>
        </w:rPr>
        <w:t>(c)</w:t>
      </w:r>
      <w:r w:rsidRPr="001D7A64">
        <w:rPr>
          <w:b/>
          <w:bCs/>
        </w:rPr>
        <w:tab/>
      </w:r>
      <w:r w:rsidR="00AD31C1">
        <w:rPr>
          <w:b/>
          <w:bCs/>
        </w:rPr>
        <w:t>Recognize</w:t>
      </w:r>
      <w:r w:rsidR="00643F36">
        <w:rPr>
          <w:b/>
          <w:bCs/>
        </w:rPr>
        <w:t xml:space="preserve"> </w:t>
      </w:r>
      <w:r w:rsidR="006E05A5">
        <w:rPr>
          <w:b/>
          <w:bCs/>
        </w:rPr>
        <w:t>the</w:t>
      </w:r>
      <w:r w:rsidR="00643F36" w:rsidRPr="00280AFD">
        <w:rPr>
          <w:b/>
          <w:bCs/>
        </w:rPr>
        <w:t xml:space="preserve"> </w:t>
      </w:r>
      <w:r w:rsidR="003E17F5" w:rsidRPr="00280AFD">
        <w:rPr>
          <w:b/>
          <w:bCs/>
        </w:rPr>
        <w:t xml:space="preserve">legal </w:t>
      </w:r>
      <w:r w:rsidR="00643F36">
        <w:rPr>
          <w:b/>
          <w:bCs/>
        </w:rPr>
        <w:t>status</w:t>
      </w:r>
      <w:r w:rsidR="00643F36" w:rsidRPr="00280AFD">
        <w:rPr>
          <w:b/>
          <w:bCs/>
        </w:rPr>
        <w:t xml:space="preserve"> </w:t>
      </w:r>
      <w:r w:rsidR="003E17F5" w:rsidRPr="00280AFD">
        <w:rPr>
          <w:b/>
          <w:bCs/>
        </w:rPr>
        <w:t>of indigenous peoples</w:t>
      </w:r>
      <w:r w:rsidR="003E17F5">
        <w:rPr>
          <w:b/>
          <w:bCs/>
        </w:rPr>
        <w:t>,</w:t>
      </w:r>
      <w:r w:rsidR="003E17F5" w:rsidRPr="00280AFD">
        <w:rPr>
          <w:b/>
          <w:bCs/>
        </w:rPr>
        <w:t xml:space="preserve"> </w:t>
      </w:r>
      <w:r w:rsidR="003E17F5">
        <w:rPr>
          <w:b/>
          <w:bCs/>
        </w:rPr>
        <w:t>facilitate the reporting of violations of</w:t>
      </w:r>
      <w:r w:rsidR="003E17F5" w:rsidRPr="009A35F0">
        <w:rPr>
          <w:b/>
          <w:bCs/>
        </w:rPr>
        <w:t xml:space="preserve"> the rights </w:t>
      </w:r>
      <w:r w:rsidR="00643F36">
        <w:rPr>
          <w:b/>
          <w:bCs/>
        </w:rPr>
        <w:t xml:space="preserve">of </w:t>
      </w:r>
      <w:r w:rsidR="00643F36" w:rsidRPr="00280AFD">
        <w:rPr>
          <w:b/>
          <w:bCs/>
        </w:rPr>
        <w:t>indigenous peoples</w:t>
      </w:r>
      <w:r w:rsidR="00643F36">
        <w:rPr>
          <w:b/>
          <w:bCs/>
        </w:rPr>
        <w:t>,</w:t>
      </w:r>
      <w:r w:rsidR="003E17F5">
        <w:rPr>
          <w:b/>
          <w:bCs/>
        </w:rPr>
        <w:t xml:space="preserve"> investigate </w:t>
      </w:r>
      <w:r w:rsidR="00643F36">
        <w:rPr>
          <w:b/>
          <w:bCs/>
        </w:rPr>
        <w:t xml:space="preserve">such </w:t>
      </w:r>
      <w:r w:rsidR="003E17F5">
        <w:rPr>
          <w:b/>
          <w:bCs/>
        </w:rPr>
        <w:t>cases, prosecute perpetrators and compensate victims</w:t>
      </w:r>
      <w:r w:rsidR="003E17F5" w:rsidRPr="009A35F0">
        <w:rPr>
          <w:b/>
          <w:bCs/>
        </w:rPr>
        <w:t>,</w:t>
      </w:r>
      <w:r w:rsidR="003E17F5">
        <w:rPr>
          <w:b/>
          <w:bCs/>
        </w:rPr>
        <w:t xml:space="preserve"> resolve land disputes through the </w:t>
      </w:r>
      <w:r w:rsidR="003E17F5">
        <w:rPr>
          <w:b/>
          <w:bCs/>
        </w:rPr>
        <w:lastRenderedPageBreak/>
        <w:t xml:space="preserve">implementation of the </w:t>
      </w:r>
      <w:r w:rsidR="003E17F5" w:rsidRPr="00BE7F48">
        <w:rPr>
          <w:b/>
          <w:bCs/>
        </w:rPr>
        <w:t>Chittagong Hill Tracts Land Dispute Resolution Commission Act 2001</w:t>
      </w:r>
      <w:r w:rsidR="003E17F5">
        <w:rPr>
          <w:b/>
          <w:bCs/>
        </w:rPr>
        <w:t xml:space="preserve"> (amended in 2016) and through the </w:t>
      </w:r>
      <w:r w:rsidR="00D00977">
        <w:rPr>
          <w:b/>
          <w:bCs/>
        </w:rPr>
        <w:t xml:space="preserve">use </w:t>
      </w:r>
      <w:r w:rsidR="003E17F5">
        <w:rPr>
          <w:b/>
          <w:bCs/>
        </w:rPr>
        <w:t xml:space="preserve">of an independent land commission, and </w:t>
      </w:r>
      <w:r w:rsidR="003E17F5" w:rsidRPr="009A35F0">
        <w:rPr>
          <w:b/>
          <w:bCs/>
        </w:rPr>
        <w:t>include indigenous persons in political and decision making processes;</w:t>
      </w:r>
    </w:p>
    <w:p w:rsidR="003E17F5" w:rsidRPr="001D7A64" w:rsidRDefault="001D7A64" w:rsidP="00643F36">
      <w:pPr>
        <w:pStyle w:val="SingleTxtG"/>
        <w:rPr>
          <w:b/>
        </w:rPr>
      </w:pPr>
      <w:r>
        <w:rPr>
          <w:b/>
        </w:rPr>
        <w:tab/>
      </w:r>
      <w:r w:rsidRPr="001D7A64">
        <w:rPr>
          <w:b/>
        </w:rPr>
        <w:t>(d)</w:t>
      </w:r>
      <w:r w:rsidRPr="001D7A64">
        <w:rPr>
          <w:b/>
        </w:rPr>
        <w:tab/>
      </w:r>
      <w:r w:rsidR="00643F36">
        <w:rPr>
          <w:b/>
        </w:rPr>
        <w:t>Take measures to e</w:t>
      </w:r>
      <w:r w:rsidR="003E17F5" w:rsidRPr="001D7A64">
        <w:rPr>
          <w:rFonts w:eastAsia="Calibri"/>
          <w:b/>
          <w:bCs/>
        </w:rPr>
        <w:t xml:space="preserve">nd </w:t>
      </w:r>
      <w:r w:rsidR="00643F36">
        <w:rPr>
          <w:rFonts w:eastAsia="Calibri"/>
          <w:b/>
          <w:bCs/>
        </w:rPr>
        <w:t xml:space="preserve">the </w:t>
      </w:r>
      <w:r w:rsidR="003E17F5" w:rsidRPr="001D7A64">
        <w:rPr>
          <w:rFonts w:eastAsia="Calibri"/>
          <w:b/>
          <w:bCs/>
        </w:rPr>
        <w:t>de facto caste systems, and ensure that individuals from so</w:t>
      </w:r>
      <w:r w:rsidR="0080092B">
        <w:rPr>
          <w:rFonts w:eastAsia="Calibri"/>
          <w:b/>
          <w:bCs/>
        </w:rPr>
        <w:t>-</w:t>
      </w:r>
      <w:r w:rsidR="003E17F5" w:rsidRPr="001D7A64">
        <w:rPr>
          <w:rFonts w:eastAsia="Calibri"/>
          <w:b/>
          <w:bCs/>
        </w:rPr>
        <w:t xml:space="preserve">called lower casts are not relegated to caste based employment and have equal access to all rights guaranteed under the Covenant, without discrimination; </w:t>
      </w:r>
    </w:p>
    <w:p w:rsidR="003E17F5" w:rsidRPr="001D7A64" w:rsidRDefault="001D7A64" w:rsidP="001D7A64">
      <w:pPr>
        <w:pStyle w:val="SingleTxtG"/>
        <w:rPr>
          <w:b/>
        </w:rPr>
      </w:pPr>
      <w:r>
        <w:rPr>
          <w:b/>
        </w:rPr>
        <w:tab/>
      </w:r>
      <w:r w:rsidRPr="001D7A64">
        <w:rPr>
          <w:b/>
        </w:rPr>
        <w:t>(e)</w:t>
      </w:r>
      <w:r w:rsidRPr="001D7A64">
        <w:rPr>
          <w:b/>
        </w:rPr>
        <w:tab/>
      </w:r>
      <w:r w:rsidR="003E17F5" w:rsidRPr="001D7A64">
        <w:rPr>
          <w:b/>
        </w:rPr>
        <w:t xml:space="preserve">Decriminalize </w:t>
      </w:r>
      <w:r w:rsidR="003E17F5" w:rsidRPr="001D7A64">
        <w:rPr>
          <w:b/>
          <w:lang w:eastAsia="en-GB"/>
        </w:rPr>
        <w:t>consensual sexual acts between same sex couples, provide protection to lesbian, gay, bisexual and transgender (LGBT) persons from violence and harassment</w:t>
      </w:r>
      <w:r w:rsidR="00DE78AC">
        <w:rPr>
          <w:b/>
          <w:lang w:eastAsia="en-GB"/>
        </w:rPr>
        <w:t xml:space="preserve"> by ensuring that all cases are promptly investigated, prosecuted, and punished with appropriate sanctions</w:t>
      </w:r>
      <w:r w:rsidR="003E17F5" w:rsidRPr="001D7A64">
        <w:rPr>
          <w:b/>
          <w:lang w:eastAsia="en-GB"/>
        </w:rPr>
        <w:t>, and eliminate barriers to employment and violations to the dignity of “</w:t>
      </w:r>
      <w:proofErr w:type="spellStart"/>
      <w:r w:rsidR="003E17F5" w:rsidRPr="001D7A64">
        <w:rPr>
          <w:b/>
          <w:lang w:eastAsia="en-GB"/>
        </w:rPr>
        <w:t>hijras</w:t>
      </w:r>
      <w:proofErr w:type="spellEnd"/>
      <w:r w:rsidR="003E17F5" w:rsidRPr="001D7A64">
        <w:rPr>
          <w:b/>
          <w:lang w:eastAsia="en-GB"/>
        </w:rPr>
        <w:t>”.</w:t>
      </w:r>
    </w:p>
    <w:p w:rsidR="003E17F5" w:rsidRPr="00FE50BA" w:rsidRDefault="003E17F5" w:rsidP="001D7A64">
      <w:pPr>
        <w:pStyle w:val="SingleTxtG"/>
        <w:rPr>
          <w:b/>
        </w:rPr>
      </w:pPr>
      <w:r>
        <w:rPr>
          <w:b/>
        </w:rPr>
        <w:t>Early marriage and harmful traditional practices</w:t>
      </w:r>
    </w:p>
    <w:p w:rsidR="003E17F5" w:rsidRDefault="001D7A64" w:rsidP="001D7A64">
      <w:pPr>
        <w:pStyle w:val="SingleTxtG"/>
      </w:pPr>
      <w:r>
        <w:t>13.</w:t>
      </w:r>
      <w:r>
        <w:tab/>
      </w:r>
      <w:r w:rsidR="003E17F5" w:rsidRPr="00FE50BA">
        <w:t xml:space="preserve">The Committee </w:t>
      </w:r>
      <w:r w:rsidR="003E17F5">
        <w:t>is concerned that the State party has one of the highest rates of early marriage</w:t>
      </w:r>
      <w:r w:rsidR="00CC1CF3">
        <w:t xml:space="preserve"> in the wo</w:t>
      </w:r>
      <w:r w:rsidR="00D13A6B">
        <w:t>r</w:t>
      </w:r>
      <w:r w:rsidR="00CC1CF3">
        <w:t>ld</w:t>
      </w:r>
      <w:r w:rsidR="003E17F5">
        <w:t xml:space="preserve">, with </w:t>
      </w:r>
      <w:r w:rsidR="003E17F5" w:rsidRPr="00B31B90">
        <w:t>32% of girls married before the age of 15 and 66% of girls married before the age of 18</w:t>
      </w:r>
      <w:r w:rsidR="003E17F5" w:rsidRPr="00702FB6">
        <w:t xml:space="preserve">. </w:t>
      </w:r>
      <w:r w:rsidR="003E17F5">
        <w:t xml:space="preserve">It is also concerned that early marriage is prevalent in refugee camps where 90% of families have at least one married family member under the age of 18. The Committee notes efforts by the State party to reduce early marriage through the approval of a </w:t>
      </w:r>
      <w:r w:rsidR="003E17F5" w:rsidRPr="004D26C6">
        <w:t>Child Marriage</w:t>
      </w:r>
      <w:r w:rsidR="003E17F5">
        <w:t xml:space="preserve"> </w:t>
      </w:r>
      <w:r w:rsidR="003E17F5" w:rsidRPr="004D26C6">
        <w:t xml:space="preserve">Restraint Bill </w:t>
      </w:r>
      <w:r w:rsidR="003E17F5">
        <w:t xml:space="preserve">in 2016, but remains concerned that marriage </w:t>
      </w:r>
      <w:r w:rsidR="003E17F5" w:rsidRPr="004D26C6">
        <w:t xml:space="preserve">below </w:t>
      </w:r>
      <w:r w:rsidR="003E17F5">
        <w:t xml:space="preserve">the </w:t>
      </w:r>
      <w:r w:rsidR="003E17F5" w:rsidRPr="004D26C6">
        <w:t xml:space="preserve">age </w:t>
      </w:r>
      <w:r w:rsidR="003E17F5">
        <w:t>of 18 will be permitted in “</w:t>
      </w:r>
      <w:r w:rsidR="003E17F5" w:rsidRPr="004D26C6">
        <w:t>special</w:t>
      </w:r>
      <w:r w:rsidR="003E17F5">
        <w:t xml:space="preserve"> circumstances</w:t>
      </w:r>
      <w:r w:rsidR="00A04E01">
        <w:t>.</w:t>
      </w:r>
      <w:r w:rsidR="00A50FFE">
        <w:t xml:space="preserve">” </w:t>
      </w:r>
      <w:r w:rsidR="003E17F5">
        <w:t xml:space="preserve">The Committee is further concerned at the continuation of harmful traditional practices such as the imposition of the payment of dowries on the families of girls (arts. 2, 3, </w:t>
      </w:r>
      <w:r w:rsidR="003268F9">
        <w:t xml:space="preserve">24 </w:t>
      </w:r>
      <w:r w:rsidR="003E17F5">
        <w:t>and 26)</w:t>
      </w:r>
      <w:r w:rsidR="0078292E">
        <w:t>.</w:t>
      </w:r>
    </w:p>
    <w:p w:rsidR="003E17F5" w:rsidRPr="00DC21E6" w:rsidRDefault="001D7A64" w:rsidP="0033102A">
      <w:pPr>
        <w:pStyle w:val="SingleTxtG"/>
      </w:pPr>
      <w:r w:rsidRPr="00DC21E6">
        <w:t>14.</w:t>
      </w:r>
      <w:r w:rsidRPr="00DC21E6">
        <w:tab/>
      </w:r>
      <w:r w:rsidR="003E17F5">
        <w:rPr>
          <w:b/>
          <w:bCs/>
          <w:lang w:eastAsia="zh-CN"/>
        </w:rPr>
        <w:t xml:space="preserve">The State party </w:t>
      </w:r>
      <w:r w:rsidR="00D00977">
        <w:rPr>
          <w:b/>
          <w:bCs/>
          <w:lang w:eastAsia="zh-CN"/>
        </w:rPr>
        <w:t xml:space="preserve">should </w:t>
      </w:r>
      <w:r w:rsidR="003E17F5">
        <w:rPr>
          <w:b/>
          <w:bCs/>
          <w:lang w:eastAsia="zh-CN"/>
        </w:rPr>
        <w:t>t</w:t>
      </w:r>
      <w:r w:rsidR="003E17F5">
        <w:rPr>
          <w:b/>
          <w:bCs/>
        </w:rPr>
        <w:t xml:space="preserve">ake immediate measures to </w:t>
      </w:r>
      <w:r w:rsidR="00AB37E0">
        <w:rPr>
          <w:b/>
          <w:bCs/>
        </w:rPr>
        <w:t xml:space="preserve">sharply reduce </w:t>
      </w:r>
      <w:r w:rsidR="003E17F5">
        <w:rPr>
          <w:b/>
          <w:bCs/>
        </w:rPr>
        <w:t xml:space="preserve">early marriage and </w:t>
      </w:r>
      <w:r w:rsidR="00AB37E0">
        <w:rPr>
          <w:b/>
          <w:bCs/>
        </w:rPr>
        <w:t xml:space="preserve">prevent </w:t>
      </w:r>
      <w:r w:rsidR="003E17F5">
        <w:rPr>
          <w:b/>
          <w:bCs/>
        </w:rPr>
        <w:t xml:space="preserve">dowry practices, including through the implementation of legislation preventing early marriage and dowry practices and by </w:t>
      </w:r>
      <w:r w:rsidR="003E17F5" w:rsidRPr="007A2C0D">
        <w:rPr>
          <w:b/>
          <w:bCs/>
        </w:rPr>
        <w:t>carry</w:t>
      </w:r>
      <w:r w:rsidR="003E17F5">
        <w:rPr>
          <w:b/>
          <w:bCs/>
        </w:rPr>
        <w:t>ing</w:t>
      </w:r>
      <w:r w:rsidR="003E17F5" w:rsidRPr="007A2C0D">
        <w:rPr>
          <w:b/>
          <w:bCs/>
        </w:rPr>
        <w:t xml:space="preserve"> out campaigns to publicize the legislation</w:t>
      </w:r>
      <w:r w:rsidR="003E17F5">
        <w:rPr>
          <w:b/>
          <w:bCs/>
        </w:rPr>
        <w:t xml:space="preserve"> </w:t>
      </w:r>
      <w:r w:rsidR="0033102A">
        <w:rPr>
          <w:b/>
          <w:bCs/>
        </w:rPr>
        <w:t xml:space="preserve">outlawing </w:t>
      </w:r>
      <w:r w:rsidR="003E17F5">
        <w:rPr>
          <w:b/>
          <w:bCs/>
        </w:rPr>
        <w:t>such practices,</w:t>
      </w:r>
      <w:r w:rsidR="003E17F5" w:rsidRPr="007A2C0D">
        <w:rPr>
          <w:b/>
          <w:bCs/>
        </w:rPr>
        <w:t xml:space="preserve"> and inform girls, their parents and community leaders of the harmful effects of early marriage</w:t>
      </w:r>
      <w:r w:rsidR="003E17F5">
        <w:rPr>
          <w:b/>
          <w:bCs/>
        </w:rPr>
        <w:t xml:space="preserve">. The State party should amend the </w:t>
      </w:r>
      <w:r w:rsidR="003E17F5" w:rsidRPr="00436A08">
        <w:rPr>
          <w:b/>
        </w:rPr>
        <w:t>Child Marriage Restraint</w:t>
      </w:r>
      <w:r w:rsidR="003E17F5">
        <w:t xml:space="preserve"> </w:t>
      </w:r>
      <w:r w:rsidR="003E17F5">
        <w:rPr>
          <w:b/>
          <w:bCs/>
        </w:rPr>
        <w:t xml:space="preserve">Bill to maintain the legal minimum age of marriage for girls at 18 years, in accordance with international norms, without any exceptions. </w:t>
      </w:r>
    </w:p>
    <w:p w:rsidR="003E17F5" w:rsidRDefault="00A463B4" w:rsidP="001D7A64">
      <w:pPr>
        <w:pStyle w:val="SingleTxtG"/>
      </w:pPr>
      <w:r>
        <w:rPr>
          <w:b/>
          <w:bCs/>
        </w:rPr>
        <w:t>V</w:t>
      </w:r>
      <w:r w:rsidR="003E17F5">
        <w:rPr>
          <w:b/>
          <w:bCs/>
        </w:rPr>
        <w:t xml:space="preserve">oluntary </w:t>
      </w:r>
      <w:r w:rsidR="00613CEB">
        <w:rPr>
          <w:b/>
          <w:bCs/>
        </w:rPr>
        <w:t>t</w:t>
      </w:r>
      <w:r w:rsidR="003E17F5">
        <w:rPr>
          <w:b/>
          <w:bCs/>
        </w:rPr>
        <w:t xml:space="preserve">ermination of </w:t>
      </w:r>
      <w:r w:rsidR="00D36FEA">
        <w:rPr>
          <w:b/>
          <w:bCs/>
        </w:rPr>
        <w:t>p</w:t>
      </w:r>
      <w:r w:rsidR="003E17F5">
        <w:rPr>
          <w:b/>
          <w:bCs/>
        </w:rPr>
        <w:t xml:space="preserve">regnancy </w:t>
      </w:r>
      <w:r>
        <w:rPr>
          <w:b/>
          <w:bCs/>
        </w:rPr>
        <w:t>and sexual and reproductive health</w:t>
      </w:r>
    </w:p>
    <w:p w:rsidR="003E17F5" w:rsidRDefault="001D7A64" w:rsidP="001D7A64">
      <w:pPr>
        <w:pStyle w:val="SingleTxtG"/>
      </w:pPr>
      <w:r>
        <w:t>15.</w:t>
      </w:r>
      <w:r>
        <w:tab/>
      </w:r>
      <w:r w:rsidR="003E17F5" w:rsidRPr="00DC21E6">
        <w:rPr>
          <w:bCs/>
        </w:rPr>
        <w:t>The Committee is concerned that a</w:t>
      </w:r>
      <w:r w:rsidR="003E17F5">
        <w:t xml:space="preserve">bortion is </w:t>
      </w:r>
      <w:r w:rsidR="00503BAA">
        <w:t>criminalized</w:t>
      </w:r>
      <w:r w:rsidR="003E17F5">
        <w:t xml:space="preserve"> except when the life of </w:t>
      </w:r>
      <w:r w:rsidR="0068744F">
        <w:t xml:space="preserve">woman </w:t>
      </w:r>
      <w:r w:rsidR="003E17F5">
        <w:t xml:space="preserve">is in danger, </w:t>
      </w:r>
      <w:r w:rsidR="00503BAA">
        <w:t xml:space="preserve">which </w:t>
      </w:r>
      <w:r w:rsidR="00A463B4">
        <w:t xml:space="preserve">prompts </w:t>
      </w:r>
      <w:r w:rsidR="00503BAA">
        <w:t>women to resort to unsafe</w:t>
      </w:r>
      <w:r w:rsidR="003E17F5">
        <w:t xml:space="preserve"> abortions, endangering their health and leading to a high rate of </w:t>
      </w:r>
      <w:r w:rsidR="00A463B4">
        <w:t>maternal mortality</w:t>
      </w:r>
      <w:r w:rsidR="003E17F5">
        <w:t xml:space="preserve">. The Committee notes that while the State party allows for “menstrual regulation,” the procedure is not widely available and women requesting the procedure </w:t>
      </w:r>
      <w:r w:rsidR="00D36FEA">
        <w:t xml:space="preserve">reportedly </w:t>
      </w:r>
      <w:r w:rsidR="003E17F5">
        <w:t xml:space="preserve">are </w:t>
      </w:r>
      <w:r w:rsidR="00D36FEA">
        <w:t xml:space="preserve">often </w:t>
      </w:r>
      <w:r w:rsidR="003E17F5">
        <w:t xml:space="preserve">refused. </w:t>
      </w:r>
      <w:r w:rsidR="00D00977">
        <w:t xml:space="preserve">It </w:t>
      </w:r>
      <w:r w:rsidR="003E17F5" w:rsidRPr="00DC21E6">
        <w:rPr>
          <w:rFonts w:eastAsia="Calibri"/>
        </w:rPr>
        <w:t>is</w:t>
      </w:r>
      <w:r w:rsidR="003E17F5">
        <w:t xml:space="preserve"> </w:t>
      </w:r>
      <w:r w:rsidR="003E17F5" w:rsidRPr="00DC21E6">
        <w:rPr>
          <w:rFonts w:eastAsia="Calibri"/>
        </w:rPr>
        <w:t>also concerned a</w:t>
      </w:r>
      <w:r w:rsidR="003E17F5">
        <w:rPr>
          <w:rFonts w:eastAsia="Calibri"/>
        </w:rPr>
        <w:t>t the high rate</w:t>
      </w:r>
      <w:r w:rsidR="003E17F5" w:rsidRPr="00DC21E6">
        <w:rPr>
          <w:rFonts w:eastAsia="Calibri"/>
        </w:rPr>
        <w:t xml:space="preserve"> of adolescent pregnancy </w:t>
      </w:r>
      <w:r w:rsidR="003E17F5">
        <w:rPr>
          <w:rFonts w:eastAsia="Calibri"/>
        </w:rPr>
        <w:t xml:space="preserve">connected to early marriage </w:t>
      </w:r>
      <w:r w:rsidR="00635493">
        <w:rPr>
          <w:rFonts w:eastAsia="Calibri"/>
        </w:rPr>
        <w:t xml:space="preserve">and </w:t>
      </w:r>
      <w:r w:rsidR="003E17F5">
        <w:rPr>
          <w:rFonts w:eastAsia="Calibri"/>
        </w:rPr>
        <w:t xml:space="preserve">resulting in </w:t>
      </w:r>
      <w:r w:rsidR="003E17F5" w:rsidRPr="00DC21E6">
        <w:rPr>
          <w:rFonts w:eastAsia="Calibri"/>
        </w:rPr>
        <w:t>maternal</w:t>
      </w:r>
      <w:r w:rsidR="003E17F5">
        <w:t xml:space="preserve"> </w:t>
      </w:r>
      <w:r w:rsidR="003E17F5" w:rsidRPr="00DC21E6">
        <w:rPr>
          <w:rFonts w:eastAsia="Calibri"/>
        </w:rPr>
        <w:t>mortality</w:t>
      </w:r>
      <w:r w:rsidR="003E17F5">
        <w:t xml:space="preserve"> (arts. </w:t>
      </w:r>
      <w:r w:rsidR="00A50FFE">
        <w:t xml:space="preserve">3, </w:t>
      </w:r>
      <w:r w:rsidR="003E17F5">
        <w:t>6</w:t>
      </w:r>
      <w:r w:rsidR="00503BAA">
        <w:t>, 7</w:t>
      </w:r>
      <w:r w:rsidR="0082691C">
        <w:t>,</w:t>
      </w:r>
      <w:r w:rsidR="003E17F5">
        <w:t xml:space="preserve"> 17</w:t>
      </w:r>
      <w:r w:rsidR="00503BAA">
        <w:t>, and 26</w:t>
      </w:r>
      <w:r w:rsidR="003E17F5">
        <w:t>).</w:t>
      </w:r>
    </w:p>
    <w:p w:rsidR="00D13A6B" w:rsidRDefault="001D7A64" w:rsidP="00832FAA">
      <w:pPr>
        <w:pStyle w:val="SingleTxtG"/>
        <w:rPr>
          <w:b/>
        </w:rPr>
      </w:pPr>
      <w:r w:rsidRPr="003310F9">
        <w:rPr>
          <w:b/>
        </w:rPr>
        <w:t>16.</w:t>
      </w:r>
      <w:r w:rsidRPr="003310F9">
        <w:rPr>
          <w:b/>
        </w:rPr>
        <w:tab/>
      </w:r>
      <w:r w:rsidR="003E17F5" w:rsidRPr="001E6009">
        <w:rPr>
          <w:b/>
        </w:rPr>
        <w:t>The State party</w:t>
      </w:r>
      <w:r w:rsidR="003E17F5">
        <w:t xml:space="preserve"> </w:t>
      </w:r>
      <w:r w:rsidR="003E17F5" w:rsidRPr="001E6009">
        <w:rPr>
          <w:rFonts w:eastAsia="Calibri"/>
          <w:b/>
          <w:bCs/>
        </w:rPr>
        <w:t>should</w:t>
      </w:r>
      <w:r w:rsidR="003E17F5" w:rsidRPr="001E6009">
        <w:rPr>
          <w:b/>
        </w:rPr>
        <w:t xml:space="preserve">: </w:t>
      </w:r>
    </w:p>
    <w:p w:rsidR="00D13A6B" w:rsidRDefault="003E17F5" w:rsidP="00D13A6B">
      <w:pPr>
        <w:pStyle w:val="SingleTxtG"/>
        <w:ind w:firstLine="567"/>
        <w:rPr>
          <w:b/>
        </w:rPr>
      </w:pPr>
      <w:r w:rsidRPr="001E6009">
        <w:rPr>
          <w:b/>
        </w:rPr>
        <w:t xml:space="preserve">(a) Revise its legislation to </w:t>
      </w:r>
      <w:r w:rsidRPr="001E6009">
        <w:rPr>
          <w:rFonts w:eastAsia="Calibri"/>
          <w:b/>
        </w:rPr>
        <w:t>provide for additional exceptions to the legal ban on abortion, including in cases of rape, incest</w:t>
      </w:r>
      <w:r w:rsidR="00635493">
        <w:rPr>
          <w:rFonts w:eastAsia="Calibri"/>
          <w:b/>
        </w:rPr>
        <w:t>,</w:t>
      </w:r>
      <w:r w:rsidRPr="001E6009">
        <w:rPr>
          <w:rFonts w:eastAsia="Calibri"/>
          <w:b/>
        </w:rPr>
        <w:t xml:space="preserve"> fatal foetal </w:t>
      </w:r>
      <w:r w:rsidR="00CC2577">
        <w:rPr>
          <w:rFonts w:eastAsia="Calibri"/>
          <w:b/>
        </w:rPr>
        <w:t>impairment</w:t>
      </w:r>
      <w:r w:rsidR="00635493">
        <w:rPr>
          <w:rFonts w:eastAsia="Calibri"/>
          <w:b/>
        </w:rPr>
        <w:t>,</w:t>
      </w:r>
      <w:r w:rsidR="00CC2577">
        <w:rPr>
          <w:rFonts w:eastAsia="Calibri"/>
          <w:b/>
        </w:rPr>
        <w:t xml:space="preserve"> and </w:t>
      </w:r>
      <w:r w:rsidR="00635493">
        <w:rPr>
          <w:rFonts w:eastAsia="Calibri"/>
          <w:b/>
        </w:rPr>
        <w:t xml:space="preserve">for </w:t>
      </w:r>
      <w:r w:rsidR="00CC2577">
        <w:rPr>
          <w:rFonts w:eastAsia="Calibri"/>
          <w:b/>
        </w:rPr>
        <w:t>therapeutic reasons</w:t>
      </w:r>
      <w:r w:rsidR="00635493">
        <w:rPr>
          <w:rFonts w:eastAsia="Calibri"/>
          <w:b/>
        </w:rPr>
        <w:t xml:space="preserve">, and to </w:t>
      </w:r>
      <w:r w:rsidR="00635493">
        <w:rPr>
          <w:b/>
        </w:rPr>
        <w:t>e</w:t>
      </w:r>
      <w:r w:rsidRPr="001E6009">
        <w:rPr>
          <w:b/>
        </w:rPr>
        <w:t xml:space="preserve">nsure that women are not denied medical services and are not prompted by </w:t>
      </w:r>
      <w:r w:rsidRPr="0051599A">
        <w:rPr>
          <w:b/>
        </w:rPr>
        <w:t>legal obstacles</w:t>
      </w:r>
      <w:r w:rsidR="00CC2577" w:rsidRPr="0051599A">
        <w:rPr>
          <w:b/>
        </w:rPr>
        <w:t xml:space="preserve">, </w:t>
      </w:r>
      <w:r w:rsidR="0051599A">
        <w:rPr>
          <w:b/>
        </w:rPr>
        <w:t>including</w:t>
      </w:r>
      <w:r w:rsidR="00CC2577" w:rsidRPr="0051599A">
        <w:rPr>
          <w:b/>
        </w:rPr>
        <w:t xml:space="preserve"> criminal provisions,</w:t>
      </w:r>
      <w:r w:rsidRPr="0051599A">
        <w:rPr>
          <w:b/>
        </w:rPr>
        <w:t xml:space="preserve"> to resort to </w:t>
      </w:r>
      <w:r w:rsidR="00CC2577" w:rsidRPr="0051599A">
        <w:rPr>
          <w:b/>
        </w:rPr>
        <w:t xml:space="preserve">unsafe </w:t>
      </w:r>
      <w:r w:rsidRPr="0051599A">
        <w:rPr>
          <w:b/>
        </w:rPr>
        <w:t>abortions that put their lives and health at risk;</w:t>
      </w:r>
      <w:r w:rsidRPr="001E6009">
        <w:rPr>
          <w:b/>
        </w:rPr>
        <w:t xml:space="preserve"> </w:t>
      </w:r>
    </w:p>
    <w:p w:rsidR="003E17F5" w:rsidRDefault="003E17F5" w:rsidP="00D13A6B">
      <w:pPr>
        <w:pStyle w:val="SingleTxtG"/>
        <w:ind w:firstLine="567"/>
        <w:rPr>
          <w:b/>
        </w:rPr>
      </w:pPr>
      <w:r w:rsidRPr="001E6009">
        <w:rPr>
          <w:b/>
        </w:rPr>
        <w:t>(</w:t>
      </w:r>
      <w:r w:rsidR="00635493">
        <w:rPr>
          <w:b/>
        </w:rPr>
        <w:t>b</w:t>
      </w:r>
      <w:r w:rsidRPr="001E6009">
        <w:rPr>
          <w:b/>
        </w:rPr>
        <w:t xml:space="preserve">) Increase education </w:t>
      </w:r>
      <w:r w:rsidR="006702A0">
        <w:rPr>
          <w:b/>
        </w:rPr>
        <w:t xml:space="preserve">and awareness-raising </w:t>
      </w:r>
      <w:r w:rsidRPr="001E6009">
        <w:rPr>
          <w:b/>
        </w:rPr>
        <w:t>programmes on the importance of using contraceptives and on sexual and reproductive health</w:t>
      </w:r>
      <w:r w:rsidR="006702A0">
        <w:rPr>
          <w:b/>
        </w:rPr>
        <w:t xml:space="preserve"> rights</w:t>
      </w:r>
      <w:r w:rsidRPr="001E6009">
        <w:rPr>
          <w:b/>
        </w:rPr>
        <w:t>.</w:t>
      </w:r>
    </w:p>
    <w:p w:rsidR="007564CF" w:rsidRDefault="007564CF" w:rsidP="007564CF">
      <w:pPr>
        <w:pStyle w:val="SingleTxtG"/>
        <w:rPr>
          <w:b/>
        </w:rPr>
      </w:pPr>
      <w:r>
        <w:rPr>
          <w:b/>
        </w:rPr>
        <w:t>Violence against women</w:t>
      </w:r>
    </w:p>
    <w:p w:rsidR="007564CF" w:rsidRDefault="002028D4" w:rsidP="002028D4">
      <w:pPr>
        <w:pStyle w:val="SingleTxtG"/>
        <w:rPr>
          <w:lang w:eastAsia="zh-CN"/>
        </w:rPr>
      </w:pPr>
      <w:r>
        <w:rPr>
          <w:lang w:eastAsia="zh-CN"/>
        </w:rPr>
        <w:lastRenderedPageBreak/>
        <w:t>17.</w:t>
      </w:r>
      <w:r>
        <w:rPr>
          <w:lang w:eastAsia="zh-CN"/>
        </w:rPr>
        <w:tab/>
      </w:r>
      <w:r w:rsidR="007564CF">
        <w:t>While noting the existence of laws and national action plans to prevent violence against women, t</w:t>
      </w:r>
      <w:r w:rsidR="007564CF" w:rsidRPr="00DF78E7">
        <w:t xml:space="preserve">he </w:t>
      </w:r>
      <w:r w:rsidR="007564CF" w:rsidRPr="00400FAE">
        <w:t xml:space="preserve">Committee is concerned at the lack of </w:t>
      </w:r>
      <w:r w:rsidR="007564CF">
        <w:t xml:space="preserve">consistent </w:t>
      </w:r>
      <w:r w:rsidR="007564CF" w:rsidRPr="00400FAE">
        <w:t>implementation of these laws, in particular in light of the reportedly high rates of domestic and sexual violence against women and girls in the State party. Of particular concern are acid attacks, rape, gang rape</w:t>
      </w:r>
      <w:r w:rsidR="007564CF">
        <w:t>s</w:t>
      </w:r>
      <w:r w:rsidR="007564CF" w:rsidRPr="00400FAE">
        <w:t xml:space="preserve">, dowry related violence, fatwa-instigated violence, sexual harassment, </w:t>
      </w:r>
      <w:r w:rsidR="007564CF">
        <w:t xml:space="preserve">and </w:t>
      </w:r>
      <w:r w:rsidR="007564CF" w:rsidRPr="00400FAE">
        <w:t>sexual violence against indigenous women related to land grabbing in the Chittagong Hills Tract</w:t>
      </w:r>
      <w:r w:rsidR="007564CF">
        <w:t xml:space="preserve">, and sexual and gender based violence and domestic violence against </w:t>
      </w:r>
      <w:proofErr w:type="spellStart"/>
      <w:r w:rsidR="007564CF">
        <w:t>Rohingya</w:t>
      </w:r>
      <w:proofErr w:type="spellEnd"/>
      <w:r w:rsidR="007564CF">
        <w:t xml:space="preserve"> refugee women and girls in refugee camps</w:t>
      </w:r>
      <w:r w:rsidR="007564CF">
        <w:rPr>
          <w:lang w:eastAsia="zh-CN"/>
        </w:rPr>
        <w:t xml:space="preserve"> (arts. 3</w:t>
      </w:r>
      <w:r w:rsidR="00165BBF">
        <w:rPr>
          <w:lang w:eastAsia="zh-CN"/>
        </w:rPr>
        <w:t>, 6, 7</w:t>
      </w:r>
      <w:r w:rsidR="007564CF">
        <w:rPr>
          <w:lang w:eastAsia="zh-CN"/>
        </w:rPr>
        <w:t xml:space="preserve"> and </w:t>
      </w:r>
      <w:r w:rsidR="00165BBF">
        <w:rPr>
          <w:lang w:eastAsia="zh-CN"/>
        </w:rPr>
        <w:t>2</w:t>
      </w:r>
      <w:r w:rsidR="007564CF">
        <w:rPr>
          <w:lang w:eastAsia="zh-CN"/>
        </w:rPr>
        <w:t>7).</w:t>
      </w:r>
    </w:p>
    <w:p w:rsidR="007564CF" w:rsidRPr="001E6009" w:rsidRDefault="0082691C" w:rsidP="00566859">
      <w:pPr>
        <w:pStyle w:val="SingleTxtG"/>
      </w:pPr>
      <w:r>
        <w:rPr>
          <w:b/>
        </w:rPr>
        <w:t>18</w:t>
      </w:r>
      <w:r w:rsidR="007564CF" w:rsidRPr="00A7603B">
        <w:rPr>
          <w:b/>
        </w:rPr>
        <w:t>.</w:t>
      </w:r>
      <w:r w:rsidR="007564CF" w:rsidRPr="00A7603B">
        <w:rPr>
          <w:b/>
        </w:rPr>
        <w:tab/>
      </w:r>
      <w:r w:rsidR="007564CF" w:rsidRPr="00A7603B">
        <w:rPr>
          <w:rFonts w:eastAsia="Calibri"/>
          <w:b/>
        </w:rPr>
        <w:t>The</w:t>
      </w:r>
      <w:r w:rsidR="007564CF" w:rsidRPr="00471AD1">
        <w:rPr>
          <w:rFonts w:eastAsia="Calibri"/>
          <w:b/>
        </w:rPr>
        <w:t xml:space="preserve"> State party should redouble its efforts to prevent and combat all </w:t>
      </w:r>
      <w:r w:rsidR="007564CF">
        <w:rPr>
          <w:rFonts w:eastAsia="Calibri"/>
          <w:b/>
        </w:rPr>
        <w:t xml:space="preserve">forms of violence against women. It should ensure the consistent </w:t>
      </w:r>
      <w:r w:rsidR="007564CF" w:rsidRPr="009E38A7">
        <w:rPr>
          <w:b/>
        </w:rPr>
        <w:t xml:space="preserve">implementation of the existing </w:t>
      </w:r>
      <w:r w:rsidR="007564CF">
        <w:rPr>
          <w:b/>
        </w:rPr>
        <w:t>laws and national action plans on violence against women.</w:t>
      </w:r>
      <w:r w:rsidR="007564CF" w:rsidRPr="009E38A7">
        <w:rPr>
          <w:b/>
        </w:rPr>
        <w:t xml:space="preserve"> </w:t>
      </w:r>
      <w:r w:rsidR="007564CF">
        <w:rPr>
          <w:b/>
        </w:rPr>
        <w:t>I</w:t>
      </w:r>
      <w:r w:rsidR="007564CF" w:rsidRPr="00C339DD">
        <w:rPr>
          <w:b/>
        </w:rPr>
        <w:t xml:space="preserve">t should intensify awareness-raising measures among the police, </w:t>
      </w:r>
      <w:r w:rsidR="007564CF">
        <w:rPr>
          <w:b/>
        </w:rPr>
        <w:t xml:space="preserve">the </w:t>
      </w:r>
      <w:r w:rsidR="007564CF" w:rsidRPr="00C339DD">
        <w:rPr>
          <w:b/>
        </w:rPr>
        <w:t xml:space="preserve">judiciary, prosecutors, community representatives, women and men on the gravity of </w:t>
      </w:r>
      <w:r w:rsidR="007564CF">
        <w:rPr>
          <w:b/>
        </w:rPr>
        <w:t>sexual and gender based violence and domestic violence</w:t>
      </w:r>
      <w:r w:rsidR="007564CF" w:rsidRPr="00C339DD">
        <w:rPr>
          <w:b/>
        </w:rPr>
        <w:t xml:space="preserve"> and its detrimental impact on the lives of victims. The State party should ensure that cases of violence</w:t>
      </w:r>
      <w:r w:rsidR="007564CF">
        <w:rPr>
          <w:b/>
        </w:rPr>
        <w:t xml:space="preserve"> against women, including indigenous and refugee women,</w:t>
      </w:r>
      <w:r w:rsidR="007564CF" w:rsidRPr="00C339DD">
        <w:rPr>
          <w:b/>
        </w:rPr>
        <w:t xml:space="preserve"> are thoroughly investigated</w:t>
      </w:r>
      <w:r w:rsidR="007564CF">
        <w:rPr>
          <w:b/>
        </w:rPr>
        <w:t>,</w:t>
      </w:r>
      <w:r w:rsidR="007564CF" w:rsidRPr="00C339DD">
        <w:rPr>
          <w:b/>
        </w:rPr>
        <w:t xml:space="preserve"> that perpetrators are prosecuted and</w:t>
      </w:r>
      <w:r w:rsidR="007564CF">
        <w:rPr>
          <w:b/>
        </w:rPr>
        <w:t>,</w:t>
      </w:r>
      <w:r w:rsidR="007564CF" w:rsidRPr="00C339DD">
        <w:rPr>
          <w:b/>
        </w:rPr>
        <w:t xml:space="preserve"> if convicted, punished with appropriate sanctions, and the victims </w:t>
      </w:r>
      <w:r w:rsidR="007564CF">
        <w:rPr>
          <w:b/>
        </w:rPr>
        <w:t>are</w:t>
      </w:r>
      <w:r w:rsidR="004A6C0E">
        <w:rPr>
          <w:b/>
        </w:rPr>
        <w:t xml:space="preserve"> provided with </w:t>
      </w:r>
      <w:r w:rsidR="00EE177E">
        <w:rPr>
          <w:b/>
        </w:rPr>
        <w:t xml:space="preserve">full </w:t>
      </w:r>
      <w:r w:rsidR="004A6C0E">
        <w:rPr>
          <w:b/>
        </w:rPr>
        <w:t>reparation</w:t>
      </w:r>
      <w:r w:rsidR="007564CF" w:rsidRPr="00C339DD">
        <w:rPr>
          <w:b/>
        </w:rPr>
        <w:t xml:space="preserve">. It should also ensure the availability of a sufficient number of shelters with adequate resources </w:t>
      </w:r>
      <w:r w:rsidR="007564CF">
        <w:rPr>
          <w:b/>
        </w:rPr>
        <w:t>for victims.</w:t>
      </w:r>
    </w:p>
    <w:p w:rsidR="003E17F5" w:rsidRPr="00DD58B4" w:rsidRDefault="003E17F5" w:rsidP="001D7A64">
      <w:pPr>
        <w:pStyle w:val="SingleTxtG"/>
        <w:rPr>
          <w:b/>
        </w:rPr>
      </w:pPr>
      <w:r>
        <w:rPr>
          <w:b/>
        </w:rPr>
        <w:t>Extra</w:t>
      </w:r>
      <w:r w:rsidR="00D36FEA">
        <w:rPr>
          <w:b/>
        </w:rPr>
        <w:t>-</w:t>
      </w:r>
      <w:r>
        <w:rPr>
          <w:b/>
        </w:rPr>
        <w:t>judicial killings and enforced disappearances</w:t>
      </w:r>
    </w:p>
    <w:p w:rsidR="00990224" w:rsidRPr="00F83830" w:rsidRDefault="0082691C" w:rsidP="00990224">
      <w:pPr>
        <w:pStyle w:val="SingleTxtG"/>
        <w:rPr>
          <w:bCs/>
          <w:u w:val="single"/>
        </w:rPr>
      </w:pPr>
      <w:r>
        <w:rPr>
          <w:bCs/>
        </w:rPr>
        <w:t>19</w:t>
      </w:r>
      <w:r w:rsidR="001D7A64" w:rsidRPr="00F83830">
        <w:rPr>
          <w:bCs/>
        </w:rPr>
        <w:t>.</w:t>
      </w:r>
      <w:r w:rsidR="001D7A64" w:rsidRPr="00F83830">
        <w:rPr>
          <w:bCs/>
        </w:rPr>
        <w:tab/>
      </w:r>
      <w:r w:rsidR="003E17F5">
        <w:t xml:space="preserve">The Committee is concerned at the reported </w:t>
      </w:r>
      <w:r w:rsidR="003E17F5" w:rsidRPr="00DD58B4">
        <w:t xml:space="preserve">high rate of </w:t>
      </w:r>
      <w:r w:rsidR="003E17F5">
        <w:t>extra</w:t>
      </w:r>
      <w:r w:rsidR="0093397A">
        <w:t>-</w:t>
      </w:r>
      <w:r w:rsidR="003E17F5">
        <w:t xml:space="preserve">judicial </w:t>
      </w:r>
      <w:r w:rsidR="003E17F5" w:rsidRPr="00DD58B4">
        <w:t>killings</w:t>
      </w:r>
      <w:r w:rsidR="003E17F5">
        <w:t xml:space="preserve"> by police officers, soldiers and Rapid Action Battalion (RAB) force members and the reported </w:t>
      </w:r>
      <w:r w:rsidR="00443F6F">
        <w:t xml:space="preserve">enforced disappearances, as well as the </w:t>
      </w:r>
      <w:r w:rsidR="003E17F5">
        <w:t>excessive use of force by State actors. The Committee is further concerned by</w:t>
      </w:r>
      <w:r w:rsidR="003E17F5" w:rsidRPr="00DD58B4">
        <w:t xml:space="preserve"> </w:t>
      </w:r>
      <w:r w:rsidR="003E17F5">
        <w:t xml:space="preserve">the lack of </w:t>
      </w:r>
      <w:r w:rsidR="003E17F5" w:rsidRPr="00DD58B4">
        <w:t xml:space="preserve">investigations and </w:t>
      </w:r>
      <w:r w:rsidR="003E17F5">
        <w:t>accountability of perpetrators</w:t>
      </w:r>
      <w:r w:rsidR="003E17F5" w:rsidRPr="00DD58B4">
        <w:t xml:space="preserve">, </w:t>
      </w:r>
      <w:r w:rsidR="003E17F5">
        <w:t>leaving families of victims without information and redress</w:t>
      </w:r>
      <w:r w:rsidR="003E17F5" w:rsidRPr="00DD58B4">
        <w:t>.</w:t>
      </w:r>
      <w:r w:rsidR="003E17F5">
        <w:t xml:space="preserve"> </w:t>
      </w:r>
      <w:r w:rsidR="00F87C3F">
        <w:t>It</w:t>
      </w:r>
      <w:r w:rsidR="003E17F5">
        <w:t xml:space="preserve"> is further concerned that domestic law does not </w:t>
      </w:r>
      <w:r w:rsidR="00EE5B69">
        <w:t xml:space="preserve">effectively </w:t>
      </w:r>
      <w:r w:rsidR="007A430F">
        <w:t>criminalize</w:t>
      </w:r>
      <w:r w:rsidR="00990224">
        <w:t xml:space="preserve"> </w:t>
      </w:r>
      <w:r w:rsidR="003E17F5">
        <w:t xml:space="preserve">enforced disappearances, </w:t>
      </w:r>
      <w:r w:rsidR="00832FAA">
        <w:t xml:space="preserve">and that </w:t>
      </w:r>
      <w:r w:rsidR="003E17F5">
        <w:t>the State party does not accept that enforced disappearances occurs (arts.</w:t>
      </w:r>
      <w:r w:rsidR="005B04FF">
        <w:t xml:space="preserve">2, </w:t>
      </w:r>
      <w:r w:rsidR="003E17F5">
        <w:t xml:space="preserve">6, </w:t>
      </w:r>
      <w:r w:rsidR="005B04FF">
        <w:t xml:space="preserve">7, </w:t>
      </w:r>
      <w:r w:rsidR="003E17F5">
        <w:t>9, 10</w:t>
      </w:r>
      <w:r w:rsidR="005B04FF">
        <w:t>, and 16</w:t>
      </w:r>
      <w:r w:rsidR="003E17F5">
        <w:t>).</w:t>
      </w:r>
      <w:r w:rsidR="00990224">
        <w:t xml:space="preserve"> </w:t>
      </w:r>
    </w:p>
    <w:p w:rsidR="00AA6A6A" w:rsidRDefault="0082691C" w:rsidP="004C0D1E">
      <w:pPr>
        <w:pStyle w:val="SingleTxtG"/>
        <w:rPr>
          <w:b/>
        </w:rPr>
      </w:pPr>
      <w:r>
        <w:rPr>
          <w:b/>
        </w:rPr>
        <w:t>20</w:t>
      </w:r>
      <w:r w:rsidR="001D7A64">
        <w:rPr>
          <w:b/>
        </w:rPr>
        <w:t>.</w:t>
      </w:r>
      <w:r w:rsidR="001D7A64">
        <w:rPr>
          <w:b/>
        </w:rPr>
        <w:tab/>
      </w:r>
      <w:r w:rsidR="003E17F5" w:rsidRPr="007B0D0A">
        <w:rPr>
          <w:b/>
        </w:rPr>
        <w:t>The State party</w:t>
      </w:r>
      <w:r w:rsidR="009740B1">
        <w:rPr>
          <w:b/>
        </w:rPr>
        <w:t xml:space="preserve"> should</w:t>
      </w:r>
      <w:r w:rsidR="00AA6A6A">
        <w:rPr>
          <w:b/>
        </w:rPr>
        <w:t>:</w:t>
      </w:r>
    </w:p>
    <w:p w:rsidR="0082691C" w:rsidRPr="002028D4" w:rsidRDefault="002028D4" w:rsidP="002028D4">
      <w:pPr>
        <w:pStyle w:val="SingleTxtG"/>
        <w:rPr>
          <w:b/>
        </w:rPr>
      </w:pPr>
      <w:r>
        <w:rPr>
          <w:b/>
        </w:rPr>
        <w:tab/>
      </w:r>
      <w:r w:rsidRPr="002028D4">
        <w:rPr>
          <w:b/>
        </w:rPr>
        <w:t>(a)</w:t>
      </w:r>
      <w:r w:rsidRPr="002028D4">
        <w:rPr>
          <w:b/>
        </w:rPr>
        <w:tab/>
      </w:r>
      <w:r w:rsidR="00B608BC" w:rsidRPr="002028D4">
        <w:rPr>
          <w:b/>
        </w:rPr>
        <w:t>T</w:t>
      </w:r>
      <w:r w:rsidR="003E17F5" w:rsidRPr="002028D4">
        <w:rPr>
          <w:b/>
        </w:rPr>
        <w:t>ake immediate measures to protect the right to life of all persons</w:t>
      </w:r>
      <w:r w:rsidR="00B608BC" w:rsidRPr="002028D4">
        <w:rPr>
          <w:b/>
        </w:rPr>
        <w:t>;</w:t>
      </w:r>
      <w:r w:rsidR="003E17F5" w:rsidRPr="002028D4">
        <w:rPr>
          <w:b/>
        </w:rPr>
        <w:t xml:space="preserve"> </w:t>
      </w:r>
    </w:p>
    <w:p w:rsidR="004A3A86" w:rsidRPr="002028D4" w:rsidRDefault="002028D4" w:rsidP="0036238C">
      <w:pPr>
        <w:pStyle w:val="SingleTxtG"/>
        <w:rPr>
          <w:b/>
        </w:rPr>
      </w:pPr>
      <w:r>
        <w:rPr>
          <w:b/>
        </w:rPr>
        <w:tab/>
      </w:r>
      <w:r w:rsidRPr="002028D4">
        <w:rPr>
          <w:b/>
        </w:rPr>
        <w:t>(b)</w:t>
      </w:r>
      <w:r w:rsidRPr="002028D4">
        <w:rPr>
          <w:b/>
        </w:rPr>
        <w:tab/>
      </w:r>
      <w:r w:rsidR="007A430F">
        <w:rPr>
          <w:b/>
        </w:rPr>
        <w:t xml:space="preserve">Revise its legislation to </w:t>
      </w:r>
      <w:r w:rsidR="0082691C" w:rsidRPr="002028D4">
        <w:rPr>
          <w:b/>
        </w:rPr>
        <w:t>limit the use of force by</w:t>
      </w:r>
      <w:r w:rsidR="00771E68" w:rsidRPr="002028D4">
        <w:rPr>
          <w:b/>
        </w:rPr>
        <w:t xml:space="preserve"> law </w:t>
      </w:r>
      <w:r w:rsidR="0082691C" w:rsidRPr="002028D4">
        <w:rPr>
          <w:b/>
        </w:rPr>
        <w:t xml:space="preserve">enforcement officials, the military and </w:t>
      </w:r>
      <w:proofErr w:type="gramStart"/>
      <w:r w:rsidR="0082691C" w:rsidRPr="002028D4">
        <w:rPr>
          <w:b/>
        </w:rPr>
        <w:t>special forces</w:t>
      </w:r>
      <w:proofErr w:type="gramEnd"/>
      <w:r w:rsidR="0082691C" w:rsidRPr="002028D4">
        <w:rPr>
          <w:b/>
        </w:rPr>
        <w:t xml:space="preserve">, </w:t>
      </w:r>
      <w:r w:rsidR="007A430F">
        <w:rPr>
          <w:b/>
        </w:rPr>
        <w:t>incorporat</w:t>
      </w:r>
      <w:r w:rsidR="004A3A86">
        <w:rPr>
          <w:b/>
        </w:rPr>
        <w:t>ing</w:t>
      </w:r>
      <w:r w:rsidR="007A430F">
        <w:rPr>
          <w:b/>
        </w:rPr>
        <w:t xml:space="preserve"> </w:t>
      </w:r>
      <w:r w:rsidR="00771E68" w:rsidRPr="002028D4">
        <w:rPr>
          <w:b/>
        </w:rPr>
        <w:t>international standards</w:t>
      </w:r>
      <w:r w:rsidR="007A430F">
        <w:rPr>
          <w:b/>
        </w:rPr>
        <w:t xml:space="preserve">, including the </w:t>
      </w:r>
      <w:r w:rsidR="004A3A86" w:rsidRPr="004A3A86">
        <w:rPr>
          <w:b/>
        </w:rPr>
        <w:t>Basic Principles on the Use of Force and Firearms by Law Enforcement Officials</w:t>
      </w:r>
      <w:r w:rsidR="004A3A86">
        <w:rPr>
          <w:b/>
        </w:rPr>
        <w:t>, and ensure accountability for violations</w:t>
      </w:r>
      <w:r w:rsidR="0082691C" w:rsidRPr="002028D4">
        <w:rPr>
          <w:b/>
        </w:rPr>
        <w:t>;</w:t>
      </w:r>
    </w:p>
    <w:p w:rsidR="0082691C" w:rsidRPr="002028D4" w:rsidRDefault="002028D4" w:rsidP="002028D4">
      <w:pPr>
        <w:pStyle w:val="SingleTxtG"/>
        <w:rPr>
          <w:b/>
        </w:rPr>
      </w:pPr>
      <w:r>
        <w:rPr>
          <w:b/>
        </w:rPr>
        <w:tab/>
      </w:r>
      <w:r w:rsidRPr="002028D4">
        <w:rPr>
          <w:b/>
        </w:rPr>
        <w:t>(c)</w:t>
      </w:r>
      <w:r w:rsidRPr="002028D4">
        <w:rPr>
          <w:b/>
        </w:rPr>
        <w:tab/>
      </w:r>
      <w:r w:rsidR="007A430F">
        <w:rPr>
          <w:b/>
        </w:rPr>
        <w:t>Effectively c</w:t>
      </w:r>
      <w:r w:rsidR="00771E68" w:rsidRPr="002028D4">
        <w:rPr>
          <w:b/>
        </w:rPr>
        <w:t>riminalize</w:t>
      </w:r>
      <w:r w:rsidR="0089274E" w:rsidRPr="002028D4">
        <w:rPr>
          <w:b/>
        </w:rPr>
        <w:t xml:space="preserve"> enforced disappearance</w:t>
      </w:r>
      <w:r w:rsidR="00B608BC" w:rsidRPr="002028D4">
        <w:rPr>
          <w:b/>
        </w:rPr>
        <w:t>;</w:t>
      </w:r>
      <w:r w:rsidR="0089274E" w:rsidRPr="002028D4" w:rsidDel="005B04FF">
        <w:rPr>
          <w:b/>
        </w:rPr>
        <w:t xml:space="preserve"> </w:t>
      </w:r>
    </w:p>
    <w:p w:rsidR="0082691C" w:rsidRPr="002028D4" w:rsidRDefault="002028D4" w:rsidP="002028D4">
      <w:pPr>
        <w:pStyle w:val="SingleTxtG"/>
        <w:rPr>
          <w:b/>
        </w:rPr>
      </w:pPr>
      <w:r>
        <w:rPr>
          <w:b/>
        </w:rPr>
        <w:tab/>
      </w:r>
      <w:r w:rsidRPr="002028D4">
        <w:rPr>
          <w:b/>
        </w:rPr>
        <w:t>(d)</w:t>
      </w:r>
      <w:r w:rsidRPr="002028D4">
        <w:rPr>
          <w:b/>
        </w:rPr>
        <w:tab/>
      </w:r>
      <w:r w:rsidR="00B608BC" w:rsidRPr="002028D4">
        <w:rPr>
          <w:b/>
        </w:rPr>
        <w:t>I</w:t>
      </w:r>
      <w:r w:rsidR="005B04FF" w:rsidRPr="002028D4">
        <w:rPr>
          <w:b/>
        </w:rPr>
        <w:t xml:space="preserve">nvestigate all cases of </w:t>
      </w:r>
      <w:r w:rsidR="003E17F5" w:rsidRPr="002028D4">
        <w:rPr>
          <w:b/>
        </w:rPr>
        <w:t>arbitrary killings, enforced disappearances, and excessive use of force</w:t>
      </w:r>
      <w:r w:rsidR="005B04FF" w:rsidRPr="002028D4">
        <w:rPr>
          <w:b/>
        </w:rPr>
        <w:t xml:space="preserve">, prosecute and if convicted punish the perpetrators with appropriate sanctions, and provide </w:t>
      </w:r>
      <w:r w:rsidR="00EE177E">
        <w:rPr>
          <w:b/>
        </w:rPr>
        <w:t xml:space="preserve">full </w:t>
      </w:r>
      <w:r w:rsidR="005B04FF" w:rsidRPr="002028D4">
        <w:rPr>
          <w:b/>
        </w:rPr>
        <w:t xml:space="preserve">reparation to the victims. In case of disappearances, the State party should establish the truth about the fate </w:t>
      </w:r>
      <w:r w:rsidR="0036238C">
        <w:rPr>
          <w:b/>
        </w:rPr>
        <w:t xml:space="preserve">and </w:t>
      </w:r>
      <w:r w:rsidR="005B04FF" w:rsidRPr="002028D4">
        <w:rPr>
          <w:b/>
        </w:rPr>
        <w:t>the whereabouts of the victims and ensure that victims of enforced disappearance and their relatives are informed about the outcome of the investigation</w:t>
      </w:r>
      <w:r w:rsidR="00B608BC" w:rsidRPr="002028D4">
        <w:rPr>
          <w:b/>
        </w:rPr>
        <w:t>;</w:t>
      </w:r>
    </w:p>
    <w:p w:rsidR="003E17F5" w:rsidRPr="002028D4" w:rsidRDefault="002028D4" w:rsidP="002028D4">
      <w:pPr>
        <w:pStyle w:val="SingleTxtG"/>
        <w:rPr>
          <w:b/>
        </w:rPr>
      </w:pPr>
      <w:r>
        <w:rPr>
          <w:b/>
        </w:rPr>
        <w:tab/>
      </w:r>
      <w:r w:rsidRPr="002028D4">
        <w:rPr>
          <w:b/>
        </w:rPr>
        <w:t>(</w:t>
      </w:r>
      <w:r w:rsidR="006B15C4">
        <w:rPr>
          <w:b/>
        </w:rPr>
        <w:t>e</w:t>
      </w:r>
      <w:r w:rsidRPr="002028D4">
        <w:rPr>
          <w:b/>
        </w:rPr>
        <w:t>)</w:t>
      </w:r>
      <w:r w:rsidRPr="002028D4">
        <w:rPr>
          <w:b/>
        </w:rPr>
        <w:tab/>
      </w:r>
      <w:r w:rsidR="00B608BC" w:rsidRPr="002028D4">
        <w:rPr>
          <w:b/>
        </w:rPr>
        <w:t>P</w:t>
      </w:r>
      <w:r w:rsidR="003E17F5" w:rsidRPr="002028D4">
        <w:rPr>
          <w:b/>
        </w:rPr>
        <w:t>rovide in its next periodic report</w:t>
      </w:r>
      <w:r w:rsidR="0082691C" w:rsidRPr="002028D4">
        <w:rPr>
          <w:b/>
        </w:rPr>
        <w:t xml:space="preserve"> information on:</w:t>
      </w:r>
      <w:r w:rsidR="003E17F5" w:rsidRPr="002028D4">
        <w:rPr>
          <w:b/>
        </w:rPr>
        <w:t xml:space="preserve"> (</w:t>
      </w:r>
      <w:proofErr w:type="spellStart"/>
      <w:r w:rsidR="00B608BC" w:rsidRPr="002028D4">
        <w:rPr>
          <w:b/>
        </w:rPr>
        <w:t>i</w:t>
      </w:r>
      <w:proofErr w:type="spellEnd"/>
      <w:r w:rsidR="003E17F5" w:rsidRPr="002028D4">
        <w:rPr>
          <w:b/>
        </w:rPr>
        <w:t>) the number of investigations conducted; (</w:t>
      </w:r>
      <w:r w:rsidR="00B608BC" w:rsidRPr="002028D4">
        <w:rPr>
          <w:b/>
        </w:rPr>
        <w:t>ii</w:t>
      </w:r>
      <w:r w:rsidR="003E17F5" w:rsidRPr="002028D4">
        <w:rPr>
          <w:b/>
        </w:rPr>
        <w:t>) convictions secured and (</w:t>
      </w:r>
      <w:r w:rsidR="00B608BC" w:rsidRPr="002028D4">
        <w:rPr>
          <w:b/>
        </w:rPr>
        <w:t>iii</w:t>
      </w:r>
      <w:r w:rsidR="003E17F5" w:rsidRPr="002028D4">
        <w:rPr>
          <w:b/>
        </w:rPr>
        <w:t>) disaggregated info</w:t>
      </w:r>
      <w:r w:rsidR="00C17867" w:rsidRPr="002028D4">
        <w:rPr>
          <w:b/>
        </w:rPr>
        <w:t>rmation</w:t>
      </w:r>
      <w:r w:rsidR="003E17F5" w:rsidRPr="002028D4">
        <w:rPr>
          <w:b/>
        </w:rPr>
        <w:t xml:space="preserve"> on penalties that have been</w:t>
      </w:r>
      <w:r w:rsidR="0082691C" w:rsidRPr="002028D4">
        <w:rPr>
          <w:b/>
        </w:rPr>
        <w:t xml:space="preserve"> imposed </w:t>
      </w:r>
      <w:r w:rsidR="0089274E" w:rsidRPr="002028D4">
        <w:rPr>
          <w:b/>
        </w:rPr>
        <w:t>o</w:t>
      </w:r>
      <w:r w:rsidR="0082691C" w:rsidRPr="002028D4">
        <w:rPr>
          <w:b/>
        </w:rPr>
        <w:t>n</w:t>
      </w:r>
      <w:r w:rsidR="0089274E" w:rsidRPr="002028D4">
        <w:rPr>
          <w:b/>
        </w:rPr>
        <w:t xml:space="preserve"> perpetrators</w:t>
      </w:r>
      <w:r w:rsidR="003E17F5" w:rsidRPr="002028D4">
        <w:rPr>
          <w:b/>
        </w:rPr>
        <w:t xml:space="preserve">. </w:t>
      </w:r>
    </w:p>
    <w:p w:rsidR="003E17F5" w:rsidRPr="00404121" w:rsidRDefault="003E17F5" w:rsidP="001D7A64">
      <w:pPr>
        <w:pStyle w:val="SingleTxtG"/>
        <w:rPr>
          <w:b/>
        </w:rPr>
      </w:pPr>
      <w:r w:rsidRPr="00404121">
        <w:rPr>
          <w:b/>
        </w:rPr>
        <w:t xml:space="preserve">Torture </w:t>
      </w:r>
      <w:r>
        <w:rPr>
          <w:b/>
        </w:rPr>
        <w:t>and ill treatment</w:t>
      </w:r>
    </w:p>
    <w:p w:rsidR="003E17F5" w:rsidRDefault="00566859" w:rsidP="001D7A64">
      <w:pPr>
        <w:pStyle w:val="SingleTxtG"/>
      </w:pPr>
      <w:r>
        <w:t>21</w:t>
      </w:r>
      <w:r w:rsidR="001D7A64">
        <w:t>.</w:t>
      </w:r>
      <w:r w:rsidR="001D7A64">
        <w:tab/>
      </w:r>
      <w:r w:rsidR="003E17F5" w:rsidRPr="00404121">
        <w:t xml:space="preserve">The Committee notes information provided by the State party that there are currently no ongoing investigations into cases of torture in the State party and </w:t>
      </w:r>
      <w:r w:rsidR="003E17F5">
        <w:t>is</w:t>
      </w:r>
      <w:r w:rsidR="003E17F5" w:rsidRPr="00404121">
        <w:t xml:space="preserve"> concern</w:t>
      </w:r>
      <w:r w:rsidR="003E17F5">
        <w:t>ed</w:t>
      </w:r>
      <w:r w:rsidR="003E17F5" w:rsidRPr="00404121">
        <w:t xml:space="preserve"> at this fact in </w:t>
      </w:r>
      <w:r w:rsidR="003E17F5">
        <w:t xml:space="preserve">particular in </w:t>
      </w:r>
      <w:r w:rsidR="003E17F5" w:rsidRPr="00404121">
        <w:t>light of information that torture and ill</w:t>
      </w:r>
      <w:r w:rsidR="003E17F5">
        <w:t>-</w:t>
      </w:r>
      <w:r w:rsidR="003E17F5" w:rsidRPr="00404121">
        <w:t xml:space="preserve">treatment by law enforcement or </w:t>
      </w:r>
      <w:r w:rsidR="003E17F5" w:rsidRPr="00404121">
        <w:lastRenderedPageBreak/>
        <w:t xml:space="preserve">military personnel is widespread in the State party during interrogations, to extract confessions. The Committee notes </w:t>
      </w:r>
      <w:r w:rsidR="007E345B">
        <w:t xml:space="preserve">reports </w:t>
      </w:r>
      <w:r w:rsidR="003E17F5" w:rsidRPr="00404121">
        <w:t>that this practice continues despite the existence of the Torture and Custodial Death Prevention Act of 2013</w:t>
      </w:r>
      <w:r w:rsidR="003E17F5">
        <w:t>,</w:t>
      </w:r>
      <w:r w:rsidR="003E17F5" w:rsidRPr="00404121">
        <w:t xml:space="preserve"> and is further concerned at reports that law enforcement officials are requesting to repeal this law and are seeking safeguards from prosecution on torture charges </w:t>
      </w:r>
      <w:r w:rsidR="003E17F5">
        <w:t>(art</w:t>
      </w:r>
      <w:r w:rsidR="00100C27">
        <w:t>s</w:t>
      </w:r>
      <w:r w:rsidR="003E17F5">
        <w:t>. 7, 9 and 10)</w:t>
      </w:r>
      <w:r w:rsidR="00100C27">
        <w:t>.</w:t>
      </w:r>
    </w:p>
    <w:p w:rsidR="003E17F5" w:rsidRDefault="00566859" w:rsidP="001D7A64">
      <w:pPr>
        <w:pStyle w:val="SingleTxtG"/>
        <w:rPr>
          <w:b/>
        </w:rPr>
      </w:pPr>
      <w:r>
        <w:rPr>
          <w:b/>
        </w:rPr>
        <w:t>22</w:t>
      </w:r>
      <w:r w:rsidR="001D7A64">
        <w:rPr>
          <w:b/>
        </w:rPr>
        <w:t>.</w:t>
      </w:r>
      <w:r w:rsidR="001D7A64">
        <w:rPr>
          <w:b/>
        </w:rPr>
        <w:tab/>
      </w:r>
      <w:r w:rsidR="003E17F5" w:rsidRPr="00404121">
        <w:rPr>
          <w:b/>
        </w:rPr>
        <w:t>The State party should put an end to the practice of torture</w:t>
      </w:r>
      <w:r w:rsidR="003E17F5">
        <w:rPr>
          <w:b/>
        </w:rPr>
        <w:t xml:space="preserve"> and ill-treatment</w:t>
      </w:r>
      <w:r w:rsidR="003E17F5" w:rsidRPr="00404121">
        <w:rPr>
          <w:b/>
        </w:rPr>
        <w:t xml:space="preserve">. It should </w:t>
      </w:r>
      <w:r w:rsidR="003E17F5">
        <w:rPr>
          <w:b/>
        </w:rPr>
        <w:t>enforce</w:t>
      </w:r>
      <w:r w:rsidR="003E17F5" w:rsidRPr="00404121">
        <w:rPr>
          <w:b/>
        </w:rPr>
        <w:t xml:space="preserve"> the Torture and Custodial Death Prev</w:t>
      </w:r>
      <w:r w:rsidR="003E17F5">
        <w:rPr>
          <w:b/>
        </w:rPr>
        <w:t>ention Act of 2013</w:t>
      </w:r>
      <w:r w:rsidR="003E17F5" w:rsidRPr="00404121">
        <w:rPr>
          <w:b/>
        </w:rPr>
        <w:t xml:space="preserve"> </w:t>
      </w:r>
      <w:r w:rsidR="003E17F5">
        <w:rPr>
          <w:b/>
        </w:rPr>
        <w:t xml:space="preserve">and </w:t>
      </w:r>
      <w:r w:rsidR="003E17F5" w:rsidRPr="00404121">
        <w:rPr>
          <w:b/>
        </w:rPr>
        <w:t xml:space="preserve">ensure that </w:t>
      </w:r>
      <w:r w:rsidR="003E17F5" w:rsidRPr="001E6009">
        <w:rPr>
          <w:b/>
        </w:rPr>
        <w:t>no immunity provisions in other laws supersede the protections in this Act. T</w:t>
      </w:r>
      <w:r w:rsidR="003E17F5" w:rsidRPr="00404121">
        <w:rPr>
          <w:b/>
        </w:rPr>
        <w:t>he State party should establish an independent complaint mechanism with the authority to investigate all reported allegations of</w:t>
      </w:r>
      <w:r w:rsidR="00E558E0">
        <w:rPr>
          <w:b/>
        </w:rPr>
        <w:t>,</w:t>
      </w:r>
      <w:r w:rsidR="003E17F5" w:rsidRPr="00404121">
        <w:rPr>
          <w:b/>
        </w:rPr>
        <w:t xml:space="preserve"> and complaints about</w:t>
      </w:r>
      <w:r w:rsidR="00E558E0">
        <w:rPr>
          <w:b/>
        </w:rPr>
        <w:t xml:space="preserve">, </w:t>
      </w:r>
      <w:r w:rsidR="003E17F5" w:rsidRPr="00404121">
        <w:rPr>
          <w:b/>
        </w:rPr>
        <w:t xml:space="preserve">torture and ill-treatment. </w:t>
      </w:r>
      <w:r w:rsidR="00923536">
        <w:rPr>
          <w:b/>
        </w:rPr>
        <w:t>It</w:t>
      </w:r>
      <w:r w:rsidR="003E17F5" w:rsidRPr="00404121">
        <w:rPr>
          <w:b/>
        </w:rPr>
        <w:t xml:space="preserve"> should further ensure that alleged perpetrators </w:t>
      </w:r>
      <w:r w:rsidR="003E17F5" w:rsidRPr="009862D5">
        <w:rPr>
          <w:b/>
        </w:rPr>
        <w:t>of those crimes are prosecuted and that the victims are</w:t>
      </w:r>
      <w:r w:rsidR="00927B66">
        <w:rPr>
          <w:b/>
        </w:rPr>
        <w:t xml:space="preserve"> provided with </w:t>
      </w:r>
      <w:r w:rsidR="00DE25B9">
        <w:rPr>
          <w:b/>
        </w:rPr>
        <w:t xml:space="preserve">full </w:t>
      </w:r>
      <w:r w:rsidR="00927B66">
        <w:rPr>
          <w:b/>
        </w:rPr>
        <w:t>reparations</w:t>
      </w:r>
      <w:r w:rsidR="003E17F5" w:rsidRPr="009862D5">
        <w:rPr>
          <w:b/>
        </w:rPr>
        <w:t xml:space="preserve">. </w:t>
      </w:r>
    </w:p>
    <w:p w:rsidR="003E17F5" w:rsidRPr="007E66E3" w:rsidRDefault="003E17F5" w:rsidP="001D7A64">
      <w:pPr>
        <w:pStyle w:val="SingleTxtG"/>
      </w:pPr>
      <w:r>
        <w:rPr>
          <w:b/>
        </w:rPr>
        <w:t xml:space="preserve">Death </w:t>
      </w:r>
      <w:r w:rsidR="00DE25B9">
        <w:rPr>
          <w:b/>
        </w:rPr>
        <w:t>p</w:t>
      </w:r>
      <w:r>
        <w:rPr>
          <w:b/>
        </w:rPr>
        <w:t>enalty</w:t>
      </w:r>
    </w:p>
    <w:p w:rsidR="003E17F5" w:rsidRPr="005D0D68" w:rsidRDefault="001D7A64" w:rsidP="001D7A64">
      <w:pPr>
        <w:pStyle w:val="SingleTxtG"/>
        <w:rPr>
          <w:rFonts w:eastAsia="Calibri"/>
          <w:b/>
          <w:lang w:val="en-US"/>
        </w:rPr>
      </w:pPr>
      <w:r w:rsidRPr="007E66E3">
        <w:rPr>
          <w:rFonts w:eastAsia="Calibri"/>
          <w:lang w:val="en-US"/>
        </w:rPr>
        <w:t>23.</w:t>
      </w:r>
      <w:r w:rsidRPr="007E66E3">
        <w:rPr>
          <w:rFonts w:eastAsia="Calibri"/>
          <w:lang w:val="en-US"/>
        </w:rPr>
        <w:tab/>
      </w:r>
      <w:r w:rsidR="003E17F5" w:rsidRPr="00366973">
        <w:rPr>
          <w:rFonts w:eastAsia="Calibri"/>
        </w:rPr>
        <w:t>The Committee is</w:t>
      </w:r>
      <w:r w:rsidR="003E17F5">
        <w:rPr>
          <w:rFonts w:eastAsia="Calibri"/>
        </w:rPr>
        <w:t xml:space="preserve"> concerned</w:t>
      </w:r>
      <w:r w:rsidR="003E17F5" w:rsidRPr="009C62DC">
        <w:t xml:space="preserve"> </w:t>
      </w:r>
      <w:r w:rsidR="003E17F5" w:rsidRPr="009C62DC">
        <w:rPr>
          <w:rFonts w:eastAsia="Calibri"/>
        </w:rPr>
        <w:t xml:space="preserve">at the high number of </w:t>
      </w:r>
      <w:r w:rsidR="003E17F5">
        <w:rPr>
          <w:rFonts w:eastAsia="Calibri"/>
        </w:rPr>
        <w:t xml:space="preserve">cases in which the death penalty is imposed in the State party and the fact </w:t>
      </w:r>
      <w:r w:rsidR="003E17F5" w:rsidRPr="00BF1F4B">
        <w:rPr>
          <w:rFonts w:eastAsia="Calibri"/>
        </w:rPr>
        <w:t xml:space="preserve">that </w:t>
      </w:r>
      <w:r w:rsidR="003E17F5">
        <w:rPr>
          <w:rFonts w:eastAsia="Calibri"/>
        </w:rPr>
        <w:t xml:space="preserve">it can be handed down for </w:t>
      </w:r>
      <w:r w:rsidR="003E17F5" w:rsidRPr="00BF1F4B">
        <w:rPr>
          <w:rFonts w:eastAsia="Calibri"/>
        </w:rPr>
        <w:t>crimes that do not meet the threshold of the “most serious crimes”</w:t>
      </w:r>
      <w:r w:rsidR="003E17F5" w:rsidRPr="00BF1F4B">
        <w:rPr>
          <w:rFonts w:eastAsia="MS Mincho"/>
          <w:lang w:eastAsia="ja-JP"/>
        </w:rPr>
        <w:t xml:space="preserve"> within the meaning of article 6 (2) of the Covenant</w:t>
      </w:r>
      <w:r w:rsidR="003E17F5">
        <w:rPr>
          <w:rFonts w:eastAsia="MS Mincho"/>
          <w:lang w:eastAsia="ja-JP"/>
        </w:rPr>
        <w:t xml:space="preserve">, such as smuggling or the adulteration of food under the Special Powers Act of 1974, the production, manufacture or consumption of intoxicant materials under the Intoxicant Control Act of 1990, and in certain cases spying under the Official Secrets Act of 1923 </w:t>
      </w:r>
      <w:r w:rsidR="003E17F5" w:rsidRPr="00471AD1">
        <w:rPr>
          <w:rFonts w:eastAsia="Calibri"/>
        </w:rPr>
        <w:t>(arts. 6, 7 and 14).</w:t>
      </w:r>
    </w:p>
    <w:p w:rsidR="003E17F5" w:rsidRPr="00F0529A" w:rsidRDefault="001D7A64" w:rsidP="001D7A64">
      <w:pPr>
        <w:pStyle w:val="SingleTxtG"/>
        <w:rPr>
          <w:b/>
        </w:rPr>
      </w:pPr>
      <w:r w:rsidRPr="00F0529A">
        <w:rPr>
          <w:b/>
        </w:rPr>
        <w:t>24.</w:t>
      </w:r>
      <w:r w:rsidRPr="00F0529A">
        <w:rPr>
          <w:b/>
        </w:rPr>
        <w:tab/>
      </w:r>
      <w:r w:rsidR="003E17F5" w:rsidRPr="00BF1F4B">
        <w:rPr>
          <w:rFonts w:eastAsia="Calibri"/>
          <w:b/>
        </w:rPr>
        <w:t xml:space="preserve">The State party should give due consideration to abolishing the death penalty and acceding to the Second Optional Protocol to the Covenant, aiming at the abolition of the death penalty. If the death penalty is maintained, </w:t>
      </w:r>
      <w:r w:rsidR="00D86F50">
        <w:rPr>
          <w:rFonts w:eastAsia="Calibri"/>
          <w:b/>
        </w:rPr>
        <w:t>it</w:t>
      </w:r>
      <w:r w:rsidR="003E17F5" w:rsidRPr="00BF1F4B">
        <w:rPr>
          <w:rFonts w:eastAsia="Calibri"/>
          <w:b/>
        </w:rPr>
        <w:t xml:space="preserve"> should </w:t>
      </w:r>
      <w:r w:rsidR="00CF5BEF">
        <w:rPr>
          <w:rFonts w:eastAsia="Calibri"/>
          <w:b/>
        </w:rPr>
        <w:t xml:space="preserve">consider introducing a moratorium on its application </w:t>
      </w:r>
      <w:r w:rsidR="00EB5D6D">
        <w:rPr>
          <w:rFonts w:eastAsia="Calibri"/>
          <w:b/>
        </w:rPr>
        <w:t xml:space="preserve">and, in any event, </w:t>
      </w:r>
      <w:r w:rsidR="003E17F5">
        <w:rPr>
          <w:rFonts w:eastAsia="Calibri"/>
          <w:b/>
        </w:rPr>
        <w:t xml:space="preserve">undertake legislative reform to ensure that </w:t>
      </w:r>
      <w:r w:rsidR="003E17F5" w:rsidRPr="00BF1F4B">
        <w:rPr>
          <w:rFonts w:eastAsia="Calibri"/>
          <w:b/>
        </w:rPr>
        <w:t>the death penalty is provided only for th</w:t>
      </w:r>
      <w:r w:rsidR="003E17F5">
        <w:rPr>
          <w:rFonts w:eastAsia="Calibri"/>
          <w:b/>
        </w:rPr>
        <w:t>e most serious crimes</w:t>
      </w:r>
      <w:r w:rsidR="0087307F">
        <w:rPr>
          <w:rFonts w:eastAsia="Calibri"/>
          <w:b/>
        </w:rPr>
        <w:t>,</w:t>
      </w:r>
      <w:r w:rsidR="007E66E3">
        <w:rPr>
          <w:rFonts w:eastAsia="Calibri"/>
          <w:b/>
        </w:rPr>
        <w:t xml:space="preserve"> understood to be intentional killings,</w:t>
      </w:r>
      <w:r w:rsidR="003E17F5">
        <w:rPr>
          <w:rFonts w:eastAsia="Calibri"/>
          <w:b/>
        </w:rPr>
        <w:t xml:space="preserve"> and that </w:t>
      </w:r>
      <w:r w:rsidR="003E17F5" w:rsidRPr="00BF1F4B">
        <w:rPr>
          <w:rFonts w:eastAsia="Calibri"/>
          <w:b/>
        </w:rPr>
        <w:t xml:space="preserve">pardon or commutation of the sentence </w:t>
      </w:r>
      <w:r w:rsidR="00AA6A6A">
        <w:rPr>
          <w:rFonts w:eastAsia="Calibri"/>
          <w:b/>
        </w:rPr>
        <w:t>must be</w:t>
      </w:r>
      <w:r w:rsidR="00AA6A6A" w:rsidRPr="00BF1F4B">
        <w:rPr>
          <w:rFonts w:eastAsia="Calibri"/>
          <w:b/>
        </w:rPr>
        <w:t xml:space="preserve"> </w:t>
      </w:r>
      <w:r w:rsidR="003E17F5" w:rsidRPr="00BF1F4B">
        <w:rPr>
          <w:rFonts w:eastAsia="Calibri"/>
          <w:b/>
        </w:rPr>
        <w:t>available in all cases, regardless of the crime committed. The State pa</w:t>
      </w:r>
      <w:r w:rsidR="003E17F5">
        <w:rPr>
          <w:rFonts w:eastAsia="Calibri"/>
          <w:b/>
        </w:rPr>
        <w:t xml:space="preserve">rty should also ensure that, if </w:t>
      </w:r>
      <w:r w:rsidR="003E17F5" w:rsidRPr="00BF1F4B">
        <w:rPr>
          <w:rFonts w:eastAsia="Calibri"/>
          <w:b/>
        </w:rPr>
        <w:t xml:space="preserve">the death penalty is </w:t>
      </w:r>
      <w:r w:rsidR="003E17F5">
        <w:rPr>
          <w:rFonts w:eastAsia="Calibri"/>
          <w:b/>
        </w:rPr>
        <w:t xml:space="preserve">imposed, it is never </w:t>
      </w:r>
      <w:r w:rsidR="003E17F5" w:rsidRPr="00BF1F4B">
        <w:rPr>
          <w:rFonts w:eastAsia="Calibri"/>
          <w:b/>
        </w:rPr>
        <w:t>in violation of the Covenant, including in violation of fair trial procedures.</w:t>
      </w:r>
    </w:p>
    <w:p w:rsidR="003E17F5" w:rsidRDefault="003E17F5" w:rsidP="001D7A64">
      <w:pPr>
        <w:pStyle w:val="SingleTxtG"/>
        <w:rPr>
          <w:b/>
        </w:rPr>
      </w:pPr>
      <w:r>
        <w:rPr>
          <w:b/>
        </w:rPr>
        <w:t>Prisons</w:t>
      </w:r>
    </w:p>
    <w:p w:rsidR="003E17F5" w:rsidRPr="00070D79" w:rsidRDefault="001D7A64" w:rsidP="000635FF">
      <w:pPr>
        <w:pStyle w:val="SingleTxtG"/>
        <w:rPr>
          <w:b/>
        </w:rPr>
      </w:pPr>
      <w:r w:rsidRPr="003310F9">
        <w:t>25.</w:t>
      </w:r>
      <w:r w:rsidRPr="003310F9">
        <w:tab/>
      </w:r>
      <w:r w:rsidR="003E17F5">
        <w:t xml:space="preserve">The Committee is concerned at the poor conditions of detention in the State party’s prisons, particularly with respect to overcrowding, unsanitary conditions, and extortion of inmates and their relatives by prison guards to enjoy basic rights. </w:t>
      </w:r>
      <w:r w:rsidR="006D20B3">
        <w:t>It</w:t>
      </w:r>
      <w:r w:rsidR="003E17F5">
        <w:t xml:space="preserve"> is further concerned by the high number of deaths in prison over the last five years, all of which are attributed by the State party to natural causes or to suicide, while reports indicate that at least some of these deaths can be attributed to poor prison conditions, negligence by the authorities, lack of access to treatment, and</w:t>
      </w:r>
      <w:r w:rsidR="000635FF">
        <w:t>,</w:t>
      </w:r>
      <w:r w:rsidR="003E17F5">
        <w:t xml:space="preserve"> in some cases</w:t>
      </w:r>
      <w:r w:rsidR="000635FF">
        <w:t>,</w:t>
      </w:r>
      <w:r w:rsidR="003E17F5">
        <w:t xml:space="preserve"> death as a result of injuries sustained by torture while in police custody (arts. 6</w:t>
      </w:r>
      <w:r w:rsidR="00771E68">
        <w:t>, 7</w:t>
      </w:r>
      <w:r w:rsidR="00572169">
        <w:t>,</w:t>
      </w:r>
      <w:r w:rsidR="003E17F5">
        <w:t xml:space="preserve"> </w:t>
      </w:r>
      <w:r w:rsidR="00771E68">
        <w:t>9</w:t>
      </w:r>
      <w:r w:rsidR="00572169">
        <w:t xml:space="preserve"> and 10</w:t>
      </w:r>
      <w:r w:rsidR="003E17F5">
        <w:t>).</w:t>
      </w:r>
    </w:p>
    <w:p w:rsidR="003E17F5" w:rsidRPr="002807ED" w:rsidRDefault="001D7A64" w:rsidP="001D7A64">
      <w:pPr>
        <w:pStyle w:val="SingleTxtG"/>
        <w:rPr>
          <w:rFonts w:eastAsia="Calibri"/>
          <w:b/>
        </w:rPr>
      </w:pPr>
      <w:r w:rsidRPr="002807ED">
        <w:rPr>
          <w:rFonts w:eastAsia="Calibri"/>
          <w:b/>
        </w:rPr>
        <w:t>26.</w:t>
      </w:r>
      <w:r w:rsidRPr="002807ED">
        <w:rPr>
          <w:rFonts w:eastAsia="Calibri"/>
          <w:b/>
        </w:rPr>
        <w:tab/>
      </w:r>
      <w:r w:rsidR="003E17F5" w:rsidRPr="002807ED">
        <w:rPr>
          <w:rFonts w:eastAsia="Calibri"/>
          <w:b/>
        </w:rPr>
        <w:t>The State party should continue to strengthen its efforts to improve conditions of detention by taking practical measures to</w:t>
      </w:r>
      <w:r w:rsidR="003E17F5">
        <w:rPr>
          <w:rFonts w:eastAsia="Calibri"/>
          <w:b/>
        </w:rPr>
        <w:t xml:space="preserve"> re</w:t>
      </w:r>
      <w:r w:rsidR="003E17F5" w:rsidRPr="002807ED">
        <w:rPr>
          <w:rFonts w:eastAsia="Calibri"/>
          <w:b/>
        </w:rPr>
        <w:t>duce overcrowding, particularly by promo</w:t>
      </w:r>
      <w:r w:rsidR="003E17F5">
        <w:rPr>
          <w:rFonts w:eastAsia="Calibri"/>
          <w:b/>
        </w:rPr>
        <w:t xml:space="preserve">ting alternatives to detention, </w:t>
      </w:r>
      <w:r w:rsidR="003E17F5" w:rsidRPr="002807ED">
        <w:rPr>
          <w:rFonts w:eastAsia="Calibri"/>
          <w:b/>
        </w:rPr>
        <w:t xml:space="preserve">ensuring that bail determinations are made promptly and that persons on remand are not kept in custody for </w:t>
      </w:r>
      <w:r w:rsidR="003E17F5">
        <w:rPr>
          <w:rFonts w:eastAsia="Calibri"/>
          <w:b/>
        </w:rPr>
        <w:t>an unreasonable period of time.</w:t>
      </w:r>
      <w:r w:rsidR="003E17F5" w:rsidRPr="002807ED">
        <w:rPr>
          <w:rFonts w:eastAsia="Calibri"/>
          <w:b/>
        </w:rPr>
        <w:t xml:space="preserve"> </w:t>
      </w:r>
      <w:r w:rsidR="003E17F5">
        <w:rPr>
          <w:rFonts w:eastAsia="Calibri"/>
          <w:b/>
        </w:rPr>
        <w:t>It should also i</w:t>
      </w:r>
      <w:r w:rsidR="003E17F5" w:rsidRPr="002807ED">
        <w:rPr>
          <w:rFonts w:eastAsia="Calibri"/>
          <w:b/>
        </w:rPr>
        <w:t>ncrease efforts to guarantee the right of detainees to be treated with humanity and dignity and ensure that conditions of detention i</w:t>
      </w:r>
      <w:r w:rsidR="003E17F5">
        <w:rPr>
          <w:rFonts w:eastAsia="Calibri"/>
          <w:b/>
        </w:rPr>
        <w:t xml:space="preserve">n all of the country’s prisons </w:t>
      </w:r>
      <w:r w:rsidR="003E17F5" w:rsidRPr="002807ED">
        <w:rPr>
          <w:rFonts w:eastAsia="Calibri"/>
          <w:b/>
        </w:rPr>
        <w:t>are compatible with the United Nations Standard Minimum Rules for the Treatment of Prisoners (the Nelson Mandela Rules)</w:t>
      </w:r>
      <w:r w:rsidR="003E17F5">
        <w:rPr>
          <w:rFonts w:eastAsia="Calibri"/>
          <w:b/>
        </w:rPr>
        <w:t xml:space="preserve">. </w:t>
      </w:r>
    </w:p>
    <w:p w:rsidR="003E17F5" w:rsidRDefault="003E17F5" w:rsidP="001D7A64">
      <w:pPr>
        <w:pStyle w:val="SingleTxtG"/>
        <w:rPr>
          <w:b/>
        </w:rPr>
      </w:pPr>
      <w:r>
        <w:rPr>
          <w:b/>
        </w:rPr>
        <w:t>Freedom of opinion expression and association</w:t>
      </w:r>
    </w:p>
    <w:p w:rsidR="003E17F5" w:rsidRDefault="001D7A64" w:rsidP="001D7A64">
      <w:pPr>
        <w:pStyle w:val="SingleTxtG"/>
      </w:pPr>
      <w:r>
        <w:lastRenderedPageBreak/>
        <w:t>27.</w:t>
      </w:r>
      <w:r>
        <w:tab/>
      </w:r>
      <w:r w:rsidR="003E17F5" w:rsidRPr="00992D39">
        <w:t>The</w:t>
      </w:r>
      <w:r w:rsidR="003E17F5">
        <w:t xml:space="preserve"> Committee is concerned at limitations on the rights of journalists, bloggers, human rights defenders and civil society organizations in the State party to </w:t>
      </w:r>
      <w:r w:rsidR="00572169">
        <w:t xml:space="preserve">exercise </w:t>
      </w:r>
      <w:r w:rsidR="003E17F5">
        <w:t>their right to freedom of opinion, expression and association, in particular:</w:t>
      </w:r>
    </w:p>
    <w:p w:rsidR="003E17F5" w:rsidRDefault="00A7603B" w:rsidP="001D7A64">
      <w:pPr>
        <w:pStyle w:val="SingleTxtG"/>
      </w:pPr>
      <w:r>
        <w:tab/>
      </w:r>
      <w:r w:rsidR="001D7A64">
        <w:t>(a)</w:t>
      </w:r>
      <w:r w:rsidR="001D7A64">
        <w:tab/>
      </w:r>
      <w:r w:rsidR="003E17F5" w:rsidRPr="003B0EB0">
        <w:t>Lack of police protection, registration of complaints, investigations and prosecutions of incidents of violent killing of “secular bloggers” by extremist groups</w:t>
      </w:r>
      <w:r w:rsidR="006D20B3">
        <w:t xml:space="preserve"> as well as</w:t>
      </w:r>
      <w:r w:rsidR="003E17F5" w:rsidRPr="003B0EB0">
        <w:t xml:space="preserve"> death threats, physical attacks, intimidation and harassment of journalists, bloggers and human rights defenders</w:t>
      </w:r>
      <w:r w:rsidR="002152A0">
        <w:t>;</w:t>
      </w:r>
      <w:r w:rsidR="003E17F5" w:rsidRPr="003B0EB0">
        <w:t xml:space="preserve">  </w:t>
      </w:r>
    </w:p>
    <w:p w:rsidR="003E17F5" w:rsidRDefault="00A7603B" w:rsidP="001D7A64">
      <w:pPr>
        <w:pStyle w:val="SingleTxtG"/>
      </w:pPr>
      <w:r>
        <w:tab/>
      </w:r>
      <w:r w:rsidR="001D7A64">
        <w:t>(b)</w:t>
      </w:r>
      <w:r w:rsidR="001D7A64">
        <w:tab/>
      </w:r>
      <w:r w:rsidR="003E17F5">
        <w:t xml:space="preserve">The arrest of at least 35 journalists, “secular bloggers” and human rights defenders in 2016 under the </w:t>
      </w:r>
      <w:r w:rsidR="003E17F5" w:rsidRPr="001870B9">
        <w:t xml:space="preserve">Information and Communications Technology (ICT) Act </w:t>
      </w:r>
      <w:r w:rsidR="003E17F5">
        <w:t xml:space="preserve">of </w:t>
      </w:r>
      <w:r w:rsidR="003E17F5" w:rsidRPr="001870B9">
        <w:t>2006</w:t>
      </w:r>
      <w:r w:rsidR="003E17F5">
        <w:t xml:space="preserve"> </w:t>
      </w:r>
      <w:r w:rsidR="003E17F5" w:rsidRPr="001870B9">
        <w:t>(amended in 2013)</w:t>
      </w:r>
      <w:r w:rsidR="003E17F5">
        <w:t>,</w:t>
      </w:r>
      <w:r w:rsidR="003E17F5" w:rsidRPr="001870B9">
        <w:t xml:space="preserve"> </w:t>
      </w:r>
      <w:r w:rsidR="003E17F5">
        <w:t>a de-facto blasphemy law which limits freedom of opinion and expression using vague and overbroad terminology to criminalize publishing information online, which “hurts religious sentiment” and information, which prejudices “the image of the State” with a punishment of 7 to 14 years;</w:t>
      </w:r>
    </w:p>
    <w:p w:rsidR="003E17F5" w:rsidRPr="00354695" w:rsidRDefault="00A7603B" w:rsidP="001D7A64">
      <w:pPr>
        <w:pStyle w:val="SingleTxtG"/>
      </w:pPr>
      <w:r>
        <w:tab/>
      </w:r>
      <w:r w:rsidR="001D7A64" w:rsidRPr="00354695">
        <w:t>(c)</w:t>
      </w:r>
      <w:r w:rsidR="001D7A64" w:rsidRPr="00354695">
        <w:tab/>
      </w:r>
      <w:r w:rsidR="003E17F5" w:rsidRPr="00354695">
        <w:t>Undue limitations on the ability of human rights defenders and non-governmental organizations to operate, through the Foreign Donations (Voluntary Activities) Regulation Bill of 2016</w:t>
      </w:r>
      <w:r w:rsidR="003E17F5">
        <w:t>,</w:t>
      </w:r>
      <w:r w:rsidR="003E17F5" w:rsidRPr="00354695">
        <w:t xml:space="preserve"> which restricts the ability of non-governmental organizations to secure resources and makes it an offence to make “inimical” or “derogatory” remarks against the Constitution or a constitutional body </w:t>
      </w:r>
      <w:r w:rsidR="003E17F5">
        <w:t xml:space="preserve">terms which are undefined and </w:t>
      </w:r>
      <w:r w:rsidR="003E17F5" w:rsidRPr="00354695">
        <w:t>which can result in deregistration of the non-governmental organization</w:t>
      </w:r>
      <w:r w:rsidR="003E17F5">
        <w:t xml:space="preserve"> in question (arts. 6, 19, and 22).</w:t>
      </w:r>
    </w:p>
    <w:p w:rsidR="003E17F5" w:rsidRDefault="001D7A64" w:rsidP="001D7A64">
      <w:pPr>
        <w:pStyle w:val="SingleTxtG"/>
        <w:rPr>
          <w:b/>
        </w:rPr>
      </w:pPr>
      <w:r>
        <w:rPr>
          <w:b/>
        </w:rPr>
        <w:t>28.</w:t>
      </w:r>
      <w:r>
        <w:rPr>
          <w:b/>
        </w:rPr>
        <w:tab/>
      </w:r>
      <w:r w:rsidR="003E17F5" w:rsidRPr="00DB54BA">
        <w:rPr>
          <w:b/>
        </w:rPr>
        <w:t>The State party</w:t>
      </w:r>
      <w:r w:rsidR="006D20B3">
        <w:rPr>
          <w:b/>
        </w:rPr>
        <w:t xml:space="preserve"> should</w:t>
      </w:r>
      <w:r w:rsidR="003E17F5" w:rsidRPr="00DB54BA">
        <w:rPr>
          <w:b/>
        </w:rPr>
        <w:t xml:space="preserve"> immediately undertake the following measures to protect the rights of journalists, bloggers, human rights defenders and civil society organizations</w:t>
      </w:r>
      <w:r w:rsidR="003E17F5">
        <w:rPr>
          <w:b/>
        </w:rPr>
        <w:t xml:space="preserve">: </w:t>
      </w:r>
    </w:p>
    <w:p w:rsidR="003E17F5" w:rsidRPr="000A15D7" w:rsidRDefault="00A7603B" w:rsidP="001D7A64">
      <w:pPr>
        <w:pStyle w:val="SingleTxtG"/>
        <w:rPr>
          <w:rFonts w:eastAsia="Calibri"/>
          <w:b/>
          <w:bCs/>
        </w:rPr>
      </w:pPr>
      <w:r>
        <w:rPr>
          <w:rFonts w:eastAsia="Calibri"/>
          <w:b/>
          <w:bCs/>
        </w:rPr>
        <w:tab/>
      </w:r>
      <w:r w:rsidR="001D7A64" w:rsidRPr="000A15D7">
        <w:rPr>
          <w:rFonts w:eastAsia="Calibri"/>
          <w:b/>
          <w:bCs/>
        </w:rPr>
        <w:t>(a)</w:t>
      </w:r>
      <w:r w:rsidR="001D7A64" w:rsidRPr="000A15D7">
        <w:rPr>
          <w:rFonts w:eastAsia="Calibri"/>
          <w:b/>
          <w:bCs/>
        </w:rPr>
        <w:tab/>
      </w:r>
      <w:r w:rsidR="003E17F5" w:rsidRPr="003B0EB0">
        <w:rPr>
          <w:rFonts w:eastAsia="Calibri"/>
          <w:b/>
          <w:bCs/>
        </w:rPr>
        <w:t xml:space="preserve">Protect </w:t>
      </w:r>
      <w:r w:rsidR="003E17F5">
        <w:rPr>
          <w:rFonts w:eastAsia="Calibri"/>
          <w:b/>
          <w:bCs/>
        </w:rPr>
        <w:t>them</w:t>
      </w:r>
      <w:r w:rsidR="003E17F5" w:rsidRPr="003B0EB0">
        <w:rPr>
          <w:rFonts w:eastAsia="Calibri"/>
          <w:b/>
          <w:bCs/>
        </w:rPr>
        <w:t xml:space="preserve"> from unlawful killings, physical attacks and harassment. Ensure that police officials receive adequate training regarding the protection of human rights defenders. Register complaints and thoroughly investigate all attacks on the life, physical integrity and dignity of these persons, bring perpetrators to justice and provide victims with appropriate remedies</w:t>
      </w:r>
      <w:r w:rsidR="006D20B3">
        <w:rPr>
          <w:rFonts w:eastAsia="Calibri"/>
          <w:b/>
          <w:bCs/>
        </w:rPr>
        <w:t>;</w:t>
      </w:r>
    </w:p>
    <w:p w:rsidR="003E17F5" w:rsidRPr="007611B9" w:rsidRDefault="00A7603B" w:rsidP="001D7A64">
      <w:pPr>
        <w:pStyle w:val="SingleTxtG"/>
        <w:rPr>
          <w:rFonts w:eastAsia="Calibri"/>
          <w:b/>
          <w:bCs/>
        </w:rPr>
      </w:pPr>
      <w:r>
        <w:rPr>
          <w:rFonts w:eastAsia="Calibri"/>
          <w:b/>
          <w:bCs/>
        </w:rPr>
        <w:tab/>
      </w:r>
      <w:r w:rsidR="001D7A64" w:rsidRPr="007611B9">
        <w:rPr>
          <w:rFonts w:eastAsia="Calibri"/>
          <w:b/>
          <w:bCs/>
        </w:rPr>
        <w:t>(b)</w:t>
      </w:r>
      <w:r w:rsidR="001D7A64" w:rsidRPr="007611B9">
        <w:rPr>
          <w:rFonts w:eastAsia="Calibri"/>
          <w:b/>
          <w:bCs/>
        </w:rPr>
        <w:tab/>
      </w:r>
      <w:r w:rsidR="003E17F5" w:rsidRPr="007611B9">
        <w:rPr>
          <w:rFonts w:eastAsia="Calibri"/>
          <w:b/>
          <w:bCs/>
        </w:rPr>
        <w:t>Repeal or revise the laws mentioned above with a view to bringing them into conformity with its obligations under the Covenant, taking into account the Committee’s general comment No. 34 (2011) on freedoms of opinion and expression. In particular, it should clarify the vague, broad and open-ended definition of key terms in these laws and ensure that they are not used as tools to curtail freedom of expression beyond the narrow restrictions permitted in article 19 of the Covenant</w:t>
      </w:r>
      <w:r w:rsidR="006D20B3">
        <w:rPr>
          <w:rFonts w:eastAsia="Calibri"/>
          <w:b/>
          <w:bCs/>
        </w:rPr>
        <w:t>;</w:t>
      </w:r>
      <w:r w:rsidR="003E17F5" w:rsidRPr="007611B9">
        <w:rPr>
          <w:rFonts w:eastAsia="Calibri"/>
          <w:b/>
          <w:bCs/>
        </w:rPr>
        <w:t xml:space="preserve"> </w:t>
      </w:r>
    </w:p>
    <w:p w:rsidR="003E17F5" w:rsidRPr="00D120F0" w:rsidRDefault="00A7603B" w:rsidP="001D7A64">
      <w:pPr>
        <w:pStyle w:val="SingleTxtG"/>
        <w:rPr>
          <w:b/>
          <w:bCs/>
          <w:u w:val="single"/>
        </w:rPr>
      </w:pPr>
      <w:r>
        <w:rPr>
          <w:b/>
          <w:bCs/>
        </w:rPr>
        <w:tab/>
      </w:r>
      <w:r w:rsidR="001D7A64" w:rsidRPr="00D120F0">
        <w:rPr>
          <w:b/>
          <w:bCs/>
        </w:rPr>
        <w:t>(c)</w:t>
      </w:r>
      <w:r w:rsidR="001D7A64" w:rsidRPr="00D120F0">
        <w:rPr>
          <w:b/>
          <w:bCs/>
        </w:rPr>
        <w:tab/>
      </w:r>
      <w:r w:rsidR="003E17F5">
        <w:rPr>
          <w:b/>
        </w:rPr>
        <w:t xml:space="preserve">Repeal the Foreign Donations (Voluntary Activities) Regulation Bill, and ensure that any </w:t>
      </w:r>
      <w:r w:rsidR="003E17F5" w:rsidRPr="007611B9">
        <w:rPr>
          <w:b/>
        </w:rPr>
        <w:t xml:space="preserve">legal provisions </w:t>
      </w:r>
      <w:r w:rsidR="003E17F5">
        <w:rPr>
          <w:b/>
        </w:rPr>
        <w:t xml:space="preserve">restricting </w:t>
      </w:r>
      <w:r w:rsidR="003E17F5" w:rsidRPr="007611B9">
        <w:rPr>
          <w:b/>
        </w:rPr>
        <w:t xml:space="preserve">access to foreign funding </w:t>
      </w:r>
      <w:r w:rsidR="003E17F5">
        <w:rPr>
          <w:b/>
        </w:rPr>
        <w:t>does not risk</w:t>
      </w:r>
      <w:r w:rsidR="003E17F5" w:rsidRPr="007611B9">
        <w:rPr>
          <w:b/>
        </w:rPr>
        <w:t xml:space="preserve"> the effective operation </w:t>
      </w:r>
      <w:r w:rsidR="003E17F5">
        <w:rPr>
          <w:b/>
        </w:rPr>
        <w:t xml:space="preserve">of non-governmental organizations </w:t>
      </w:r>
      <w:r w:rsidR="003E17F5" w:rsidRPr="007611B9">
        <w:rPr>
          <w:b/>
        </w:rPr>
        <w:t>as a result of overly limited fundraising options</w:t>
      </w:r>
      <w:r w:rsidR="003E17F5">
        <w:rPr>
          <w:b/>
        </w:rPr>
        <w:t xml:space="preserve">, and ensure that non-governmental organizations can </w:t>
      </w:r>
      <w:r w:rsidR="003E17F5" w:rsidRPr="007611B9">
        <w:rPr>
          <w:b/>
        </w:rPr>
        <w:t>operate freely and withou</w:t>
      </w:r>
      <w:r w:rsidR="003E17F5">
        <w:rPr>
          <w:b/>
        </w:rPr>
        <w:t>t fear of retribution for exercising their freedom of expression.</w:t>
      </w:r>
    </w:p>
    <w:p w:rsidR="003E17F5" w:rsidRDefault="003E17F5" w:rsidP="001D7A64">
      <w:pPr>
        <w:pStyle w:val="SingleTxtG"/>
        <w:rPr>
          <w:b/>
        </w:rPr>
      </w:pPr>
      <w:r>
        <w:rPr>
          <w:b/>
        </w:rPr>
        <w:t xml:space="preserve">Right to </w:t>
      </w:r>
      <w:r w:rsidR="00AC57E6">
        <w:rPr>
          <w:b/>
        </w:rPr>
        <w:t>political participation</w:t>
      </w:r>
    </w:p>
    <w:p w:rsidR="003E17F5" w:rsidRDefault="001D7A64" w:rsidP="001D7A64">
      <w:pPr>
        <w:pStyle w:val="SingleTxtG"/>
        <w:rPr>
          <w:bCs/>
        </w:rPr>
      </w:pPr>
      <w:r>
        <w:rPr>
          <w:bCs/>
        </w:rPr>
        <w:t>29.</w:t>
      </w:r>
      <w:r>
        <w:rPr>
          <w:bCs/>
        </w:rPr>
        <w:tab/>
      </w:r>
      <w:r w:rsidR="003E17F5">
        <w:rPr>
          <w:bCs/>
        </w:rPr>
        <w:t xml:space="preserve">The Committee is concerned that violence during elections, such as the excessive use of force by </w:t>
      </w:r>
      <w:r w:rsidR="006D20B3">
        <w:rPr>
          <w:bCs/>
        </w:rPr>
        <w:t>S</w:t>
      </w:r>
      <w:r w:rsidR="003E17F5">
        <w:rPr>
          <w:bCs/>
        </w:rPr>
        <w:t>tate actors during the January 2014 election, hinders the rights of voters to participate in free and fair elections (art. 25)</w:t>
      </w:r>
      <w:r w:rsidR="000A7BAD">
        <w:rPr>
          <w:bCs/>
        </w:rPr>
        <w:t>.</w:t>
      </w:r>
    </w:p>
    <w:p w:rsidR="003E17F5" w:rsidRPr="00B617CD" w:rsidRDefault="001D7A64" w:rsidP="001D7A64">
      <w:pPr>
        <w:pStyle w:val="SingleTxtG"/>
        <w:rPr>
          <w:bCs/>
        </w:rPr>
      </w:pPr>
      <w:r w:rsidRPr="00A7603B">
        <w:rPr>
          <w:b/>
          <w:bCs/>
        </w:rPr>
        <w:t>30.</w:t>
      </w:r>
      <w:r w:rsidRPr="00A7603B">
        <w:rPr>
          <w:b/>
          <w:bCs/>
        </w:rPr>
        <w:tab/>
      </w:r>
      <w:r w:rsidR="003E17F5" w:rsidRPr="00B617CD">
        <w:rPr>
          <w:b/>
          <w:bCs/>
        </w:rPr>
        <w:t xml:space="preserve">The State party </w:t>
      </w:r>
      <w:r w:rsidR="006D20B3">
        <w:rPr>
          <w:b/>
          <w:bCs/>
        </w:rPr>
        <w:t xml:space="preserve">should </w:t>
      </w:r>
      <w:r w:rsidR="003E17F5" w:rsidRPr="00B617CD">
        <w:rPr>
          <w:b/>
          <w:bCs/>
        </w:rPr>
        <w:t xml:space="preserve">ensure the safety and security of all individuals in the context of elections so </w:t>
      </w:r>
      <w:r w:rsidR="006D20B3">
        <w:rPr>
          <w:b/>
          <w:bCs/>
        </w:rPr>
        <w:t xml:space="preserve">that </w:t>
      </w:r>
      <w:r w:rsidR="003E17F5" w:rsidRPr="00B617CD">
        <w:rPr>
          <w:b/>
          <w:bCs/>
        </w:rPr>
        <w:t>they may exercise their right to vote</w:t>
      </w:r>
      <w:r w:rsidR="003E17F5">
        <w:rPr>
          <w:b/>
          <w:bCs/>
        </w:rPr>
        <w:t>.</w:t>
      </w:r>
    </w:p>
    <w:p w:rsidR="003E17F5" w:rsidRPr="00A2166E" w:rsidRDefault="003E17F5" w:rsidP="001D7A64">
      <w:pPr>
        <w:pStyle w:val="SingleTxtG"/>
        <w:rPr>
          <w:b/>
          <w:bCs/>
          <w:u w:val="single"/>
        </w:rPr>
      </w:pPr>
      <w:r w:rsidRPr="00CC49BB">
        <w:rPr>
          <w:b/>
          <w:lang w:eastAsia="en-GB"/>
        </w:rPr>
        <w:t>Refugees</w:t>
      </w:r>
      <w:r>
        <w:rPr>
          <w:b/>
          <w:lang w:eastAsia="en-GB"/>
        </w:rPr>
        <w:t xml:space="preserve"> and Asylum Seekers</w:t>
      </w:r>
    </w:p>
    <w:p w:rsidR="003E17F5" w:rsidRPr="006B02C6" w:rsidRDefault="001D7A64" w:rsidP="000635FF">
      <w:pPr>
        <w:pStyle w:val="SingleTxtG"/>
        <w:rPr>
          <w:bCs/>
        </w:rPr>
      </w:pPr>
      <w:r w:rsidRPr="006B02C6">
        <w:rPr>
          <w:bCs/>
        </w:rPr>
        <w:t>31.</w:t>
      </w:r>
      <w:r w:rsidRPr="006B02C6">
        <w:rPr>
          <w:bCs/>
        </w:rPr>
        <w:tab/>
      </w:r>
      <w:r w:rsidR="003E17F5" w:rsidRPr="006B02C6">
        <w:rPr>
          <w:color w:val="000000"/>
          <w:shd w:val="clear" w:color="auto" w:fill="FFFFFF"/>
        </w:rPr>
        <w:t xml:space="preserve">The Committee is concerned </w:t>
      </w:r>
      <w:r w:rsidR="003E17F5">
        <w:rPr>
          <w:color w:val="000000"/>
          <w:shd w:val="clear" w:color="auto" w:fill="FFFFFF"/>
        </w:rPr>
        <w:t xml:space="preserve">at reports that at times large numbers of asylum seekers fleeing violence in Myanmar were </w:t>
      </w:r>
      <w:r w:rsidR="006D20B3">
        <w:rPr>
          <w:color w:val="000000"/>
          <w:shd w:val="clear" w:color="auto" w:fill="FFFFFF"/>
        </w:rPr>
        <w:t>returned to Myanmar at</w:t>
      </w:r>
      <w:r w:rsidR="003E17F5">
        <w:rPr>
          <w:color w:val="000000"/>
          <w:shd w:val="clear" w:color="auto" w:fill="FFFFFF"/>
        </w:rPr>
        <w:t xml:space="preserve"> the border. </w:t>
      </w:r>
      <w:r w:rsidR="006D20B3">
        <w:rPr>
          <w:color w:val="000000"/>
          <w:shd w:val="clear" w:color="auto" w:fill="FFFFFF"/>
        </w:rPr>
        <w:t>It</w:t>
      </w:r>
      <w:r w:rsidR="003E17F5">
        <w:rPr>
          <w:color w:val="000000"/>
          <w:shd w:val="clear" w:color="auto" w:fill="FFFFFF"/>
        </w:rPr>
        <w:t xml:space="preserve"> is also concerned </w:t>
      </w:r>
      <w:r w:rsidR="003E17F5">
        <w:rPr>
          <w:color w:val="000000"/>
          <w:shd w:val="clear" w:color="auto" w:fill="FFFFFF"/>
        </w:rPr>
        <w:lastRenderedPageBreak/>
        <w:t xml:space="preserve">that </w:t>
      </w:r>
      <w:r w:rsidR="006D20B3">
        <w:rPr>
          <w:color w:val="000000"/>
          <w:shd w:val="clear" w:color="auto" w:fill="FFFFFF"/>
        </w:rPr>
        <w:t xml:space="preserve">the </w:t>
      </w:r>
      <w:r w:rsidR="003E17F5" w:rsidRPr="006B02C6">
        <w:rPr>
          <w:color w:val="000000"/>
          <w:shd w:val="clear" w:color="auto" w:fill="FFFFFF"/>
        </w:rPr>
        <w:t xml:space="preserve">State party intends to relocate over 30,000 </w:t>
      </w:r>
      <w:proofErr w:type="spellStart"/>
      <w:r w:rsidR="003E17F5" w:rsidRPr="006B02C6">
        <w:rPr>
          <w:color w:val="000000"/>
          <w:shd w:val="clear" w:color="auto" w:fill="FFFFFF"/>
        </w:rPr>
        <w:t>Rohingya</w:t>
      </w:r>
      <w:proofErr w:type="spellEnd"/>
      <w:r w:rsidR="003E17F5" w:rsidRPr="006B02C6">
        <w:rPr>
          <w:color w:val="000000"/>
          <w:shd w:val="clear" w:color="auto" w:fill="FFFFFF"/>
        </w:rPr>
        <w:t xml:space="preserve"> refugees to the island</w:t>
      </w:r>
      <w:r w:rsidR="00572169">
        <w:rPr>
          <w:color w:val="000000"/>
          <w:shd w:val="clear" w:color="auto" w:fill="FFFFFF"/>
        </w:rPr>
        <w:t xml:space="preserve"> of</w:t>
      </w:r>
      <w:r w:rsidR="003E17F5" w:rsidRPr="006B02C6">
        <w:rPr>
          <w:color w:val="000000"/>
          <w:shd w:val="clear" w:color="auto" w:fill="FFFFFF"/>
        </w:rPr>
        <w:t xml:space="preserve"> </w:t>
      </w:r>
      <w:proofErr w:type="spellStart"/>
      <w:r w:rsidR="003E17F5" w:rsidRPr="006B02C6">
        <w:rPr>
          <w:color w:val="000000"/>
          <w:shd w:val="clear" w:color="auto" w:fill="FFFFFF"/>
        </w:rPr>
        <w:t>Thengar</w:t>
      </w:r>
      <w:proofErr w:type="spellEnd"/>
      <w:r w:rsidR="003E17F5" w:rsidRPr="006B02C6">
        <w:rPr>
          <w:color w:val="000000"/>
          <w:shd w:val="clear" w:color="auto" w:fill="FFFFFF"/>
        </w:rPr>
        <w:t xml:space="preserve"> Char, an area which currently lacks </w:t>
      </w:r>
      <w:r w:rsidR="000635FF">
        <w:rPr>
          <w:color w:val="000000"/>
          <w:shd w:val="clear" w:color="auto" w:fill="FFFFFF"/>
        </w:rPr>
        <w:t>the</w:t>
      </w:r>
      <w:r w:rsidR="000635FF" w:rsidRPr="006B02C6">
        <w:rPr>
          <w:color w:val="000000"/>
          <w:shd w:val="clear" w:color="auto" w:fill="FFFFFF"/>
        </w:rPr>
        <w:t xml:space="preserve"> </w:t>
      </w:r>
      <w:r w:rsidR="003E17F5" w:rsidRPr="006B02C6">
        <w:rPr>
          <w:color w:val="000000"/>
          <w:shd w:val="clear" w:color="auto" w:fill="FFFFFF"/>
        </w:rPr>
        <w:t xml:space="preserve">infrastructure </w:t>
      </w:r>
      <w:r w:rsidR="000635FF">
        <w:rPr>
          <w:color w:val="000000"/>
          <w:shd w:val="clear" w:color="auto" w:fill="FFFFFF"/>
        </w:rPr>
        <w:t xml:space="preserve">necessary for respect of basic human rights, </w:t>
      </w:r>
      <w:r w:rsidR="003E17F5" w:rsidRPr="006B02C6">
        <w:rPr>
          <w:color w:val="000000"/>
          <w:shd w:val="clear" w:color="auto" w:fill="FFFFFF"/>
        </w:rPr>
        <w:t>and is prone to flooding</w:t>
      </w:r>
      <w:r w:rsidR="003E17F5">
        <w:rPr>
          <w:color w:val="000000"/>
          <w:shd w:val="clear" w:color="auto" w:fill="FFFFFF"/>
        </w:rPr>
        <w:t xml:space="preserve">, </w:t>
      </w:r>
      <w:r w:rsidR="000635FF">
        <w:rPr>
          <w:color w:val="000000"/>
          <w:shd w:val="clear" w:color="auto" w:fill="FFFFFF"/>
        </w:rPr>
        <w:t>and that such relo</w:t>
      </w:r>
      <w:r w:rsidR="00B10AD0">
        <w:rPr>
          <w:color w:val="000000"/>
          <w:shd w:val="clear" w:color="auto" w:fill="FFFFFF"/>
        </w:rPr>
        <w:t>c</w:t>
      </w:r>
      <w:r w:rsidR="000635FF">
        <w:rPr>
          <w:color w:val="000000"/>
          <w:shd w:val="clear" w:color="auto" w:fill="FFFFFF"/>
        </w:rPr>
        <w:t xml:space="preserve">ation might take place </w:t>
      </w:r>
      <w:r w:rsidR="003E17F5">
        <w:rPr>
          <w:color w:val="000000"/>
          <w:shd w:val="clear" w:color="auto" w:fill="FFFFFF"/>
        </w:rPr>
        <w:t>without the</w:t>
      </w:r>
      <w:r w:rsidR="000635FF">
        <w:rPr>
          <w:color w:val="000000"/>
          <w:shd w:val="clear" w:color="auto" w:fill="FFFFFF"/>
        </w:rPr>
        <w:t xml:space="preserve"> full and free</w:t>
      </w:r>
      <w:r w:rsidR="003E17F5">
        <w:rPr>
          <w:color w:val="000000"/>
          <w:shd w:val="clear" w:color="auto" w:fill="FFFFFF"/>
        </w:rPr>
        <w:t xml:space="preserve"> consent</w:t>
      </w:r>
      <w:r w:rsidR="000635FF">
        <w:rPr>
          <w:color w:val="000000"/>
          <w:shd w:val="clear" w:color="auto" w:fill="FFFFFF"/>
        </w:rPr>
        <w:t xml:space="preserve"> of the affected individuals</w:t>
      </w:r>
      <w:r w:rsidR="003E17F5">
        <w:rPr>
          <w:color w:val="000000"/>
          <w:shd w:val="clear" w:color="auto" w:fill="FFFFFF"/>
        </w:rPr>
        <w:t xml:space="preserve"> (arts. 6, 7, 12 and 27).</w:t>
      </w:r>
    </w:p>
    <w:p w:rsidR="003E17F5" w:rsidRPr="00E4153B" w:rsidRDefault="001D7A64" w:rsidP="000635FF">
      <w:pPr>
        <w:pStyle w:val="SingleTxtG"/>
        <w:rPr>
          <w:b/>
          <w:bCs/>
        </w:rPr>
      </w:pPr>
      <w:r w:rsidRPr="00E4153B">
        <w:rPr>
          <w:b/>
          <w:bCs/>
        </w:rPr>
        <w:t>32.</w:t>
      </w:r>
      <w:r w:rsidRPr="00E4153B">
        <w:rPr>
          <w:b/>
          <w:bCs/>
        </w:rPr>
        <w:tab/>
      </w:r>
      <w:r w:rsidR="003E17F5" w:rsidRPr="009D4870">
        <w:rPr>
          <w:b/>
          <w:color w:val="000000"/>
          <w:shd w:val="clear" w:color="auto" w:fill="FFFFFF"/>
        </w:rPr>
        <w:t xml:space="preserve">The State party </w:t>
      </w:r>
      <w:r w:rsidR="006D20B3">
        <w:rPr>
          <w:b/>
          <w:color w:val="000000"/>
          <w:shd w:val="clear" w:color="auto" w:fill="FFFFFF"/>
        </w:rPr>
        <w:t xml:space="preserve">should </w:t>
      </w:r>
      <w:r w:rsidR="003E17F5">
        <w:rPr>
          <w:b/>
          <w:color w:val="000000"/>
          <w:shd w:val="clear" w:color="auto" w:fill="FFFFFF"/>
        </w:rPr>
        <w:t>implement legislative and administrative measures to comply fully with the principle of non-</w:t>
      </w:r>
      <w:proofErr w:type="spellStart"/>
      <w:r w:rsidR="003E17F5">
        <w:rPr>
          <w:b/>
          <w:color w:val="000000"/>
          <w:shd w:val="clear" w:color="auto" w:fill="FFFFFF"/>
        </w:rPr>
        <w:t>refoulement</w:t>
      </w:r>
      <w:proofErr w:type="spellEnd"/>
      <w:r w:rsidR="003E17F5">
        <w:rPr>
          <w:b/>
          <w:color w:val="000000"/>
          <w:shd w:val="clear" w:color="auto" w:fill="FFFFFF"/>
        </w:rPr>
        <w:t xml:space="preserve"> in line with article 6 and 7 of the Covenant. It </w:t>
      </w:r>
      <w:r w:rsidR="006D20B3">
        <w:rPr>
          <w:b/>
          <w:color w:val="000000"/>
          <w:shd w:val="clear" w:color="auto" w:fill="FFFFFF"/>
        </w:rPr>
        <w:t xml:space="preserve">should </w:t>
      </w:r>
      <w:r w:rsidR="003E17F5" w:rsidRPr="00E4153B">
        <w:rPr>
          <w:b/>
          <w:color w:val="000000"/>
          <w:shd w:val="clear" w:color="auto" w:fill="FFFFFF"/>
        </w:rPr>
        <w:t>consider acceding to the 1951 Convention relating to the Status of Refugees and its 1967 Protocol</w:t>
      </w:r>
      <w:r w:rsidR="003E17F5">
        <w:rPr>
          <w:b/>
          <w:color w:val="000000"/>
          <w:shd w:val="clear" w:color="auto" w:fill="FFFFFF"/>
        </w:rPr>
        <w:t xml:space="preserve">. </w:t>
      </w:r>
      <w:r w:rsidR="006D20B3">
        <w:rPr>
          <w:b/>
          <w:color w:val="000000"/>
          <w:shd w:val="clear" w:color="auto" w:fill="FFFFFF"/>
        </w:rPr>
        <w:t>It</w:t>
      </w:r>
      <w:r w:rsidR="003E17F5" w:rsidRPr="00E4153B">
        <w:rPr>
          <w:b/>
          <w:color w:val="000000"/>
          <w:shd w:val="clear" w:color="auto" w:fill="FFFFFF"/>
        </w:rPr>
        <w:t xml:space="preserve"> </w:t>
      </w:r>
      <w:r w:rsidR="000635FF">
        <w:rPr>
          <w:b/>
          <w:color w:val="000000"/>
          <w:shd w:val="clear" w:color="auto" w:fill="FFFFFF"/>
        </w:rPr>
        <w:t xml:space="preserve">should </w:t>
      </w:r>
      <w:r w:rsidR="003E17F5" w:rsidRPr="00E4153B">
        <w:rPr>
          <w:b/>
          <w:color w:val="000000"/>
          <w:shd w:val="clear" w:color="auto" w:fill="FFFFFF"/>
        </w:rPr>
        <w:t xml:space="preserve">ensure that </w:t>
      </w:r>
      <w:r w:rsidR="003E17F5">
        <w:rPr>
          <w:b/>
          <w:color w:val="000000"/>
          <w:shd w:val="clear" w:color="auto" w:fill="FFFFFF"/>
        </w:rPr>
        <w:t xml:space="preserve">refugees are </w:t>
      </w:r>
      <w:r w:rsidR="003E17F5">
        <w:rPr>
          <w:rFonts w:eastAsia="Calibri"/>
          <w:b/>
        </w:rPr>
        <w:t>not forcibly relocated</w:t>
      </w:r>
      <w:r w:rsidR="000635FF">
        <w:rPr>
          <w:rFonts w:eastAsia="Calibri"/>
          <w:b/>
        </w:rPr>
        <w:t xml:space="preserve"> and that planned relocation sites would offer conditions of life compatible with the international obligations of the State party</w:t>
      </w:r>
      <w:r w:rsidR="003E17F5">
        <w:rPr>
          <w:rFonts w:eastAsia="Calibri"/>
          <w:b/>
        </w:rPr>
        <w:t xml:space="preserve">. </w:t>
      </w:r>
    </w:p>
    <w:p w:rsidR="003E17F5" w:rsidRPr="00B56567" w:rsidRDefault="003E17F5" w:rsidP="00A7603B">
      <w:pPr>
        <w:pStyle w:val="H1G"/>
      </w:pPr>
      <w:r>
        <w:tab/>
        <w:t>D</w:t>
      </w:r>
      <w:r w:rsidRPr="00B56567">
        <w:t>.</w:t>
      </w:r>
      <w:r w:rsidRPr="00B56567">
        <w:tab/>
      </w:r>
      <w:r>
        <w:t>Dissemination and follow-up</w:t>
      </w:r>
    </w:p>
    <w:p w:rsidR="003E17F5" w:rsidRDefault="00A963A8" w:rsidP="001D7A64">
      <w:pPr>
        <w:pStyle w:val="SingleTxtG"/>
      </w:pPr>
      <w:r>
        <w:rPr>
          <w:rFonts w:eastAsia="SimSun"/>
          <w:lang w:val="en-US" w:eastAsia="zh-CN"/>
        </w:rPr>
        <w:t>3</w:t>
      </w:r>
      <w:r w:rsidR="007E66E3">
        <w:rPr>
          <w:rFonts w:eastAsia="SimSun"/>
          <w:lang w:val="en-US" w:eastAsia="zh-CN"/>
        </w:rPr>
        <w:t>3</w:t>
      </w:r>
      <w:r w:rsidR="003E17F5" w:rsidRPr="00FF540B">
        <w:rPr>
          <w:rFonts w:eastAsia="SimSun"/>
          <w:lang w:val="en-US" w:eastAsia="zh-CN"/>
        </w:rPr>
        <w:t>.</w:t>
      </w:r>
      <w:r w:rsidR="003E17F5" w:rsidRPr="00FF540B">
        <w:rPr>
          <w:rFonts w:eastAsia="SimSun"/>
          <w:lang w:val="en-US" w:eastAsia="zh-CN"/>
        </w:rPr>
        <w:tab/>
      </w:r>
      <w:r w:rsidR="003E17F5" w:rsidRPr="00657534">
        <w:rPr>
          <w:rFonts w:eastAsia="SimSun"/>
          <w:lang w:val="en-US" w:eastAsia="zh-CN"/>
        </w:rPr>
        <w:t>The State party</w:t>
      </w:r>
      <w:r w:rsidR="003E17F5" w:rsidRPr="00FF540B">
        <w:rPr>
          <w:rFonts w:eastAsia="SimSun"/>
          <w:lang w:val="en-US" w:eastAsia="zh-CN"/>
        </w:rPr>
        <w:t xml:space="preserve"> </w:t>
      </w:r>
      <w:r w:rsidR="003E17F5">
        <w:rPr>
          <w:rFonts w:eastAsia="SimSun"/>
          <w:lang w:val="en-US" w:eastAsia="zh-CN"/>
        </w:rPr>
        <w:t xml:space="preserve">should </w:t>
      </w:r>
      <w:r w:rsidR="003E17F5" w:rsidRPr="00FF540B">
        <w:rPr>
          <w:rFonts w:eastAsia="SimSun"/>
          <w:lang w:val="en-US" w:eastAsia="zh-CN"/>
        </w:rPr>
        <w:t>widely disseminate the Covenant</w:t>
      </w:r>
      <w:r w:rsidR="003E17F5" w:rsidRPr="001247A0">
        <w:rPr>
          <w:rFonts w:eastAsia="SimSun"/>
          <w:lang w:val="en-US" w:eastAsia="zh-CN"/>
        </w:rPr>
        <w:t xml:space="preserve">, </w:t>
      </w:r>
      <w:r w:rsidR="003E17F5">
        <w:rPr>
          <w:rFonts w:eastAsia="SimSun"/>
          <w:lang w:val="en-US" w:eastAsia="zh-CN"/>
        </w:rPr>
        <w:t>its</w:t>
      </w:r>
      <w:r w:rsidR="003E17F5" w:rsidRPr="001247A0">
        <w:rPr>
          <w:rFonts w:eastAsia="SimSun"/>
          <w:lang w:val="en-US" w:eastAsia="zh-CN"/>
        </w:rPr>
        <w:t xml:space="preserve"> </w:t>
      </w:r>
      <w:r w:rsidR="003E17F5" w:rsidRPr="00B31B90">
        <w:t>initial</w:t>
      </w:r>
      <w:r w:rsidR="003E17F5">
        <w:rPr>
          <w:color w:val="FF0000"/>
        </w:rPr>
        <w:t xml:space="preserve"> </w:t>
      </w:r>
      <w:r w:rsidR="003E17F5" w:rsidRPr="00D12008">
        <w:t>report</w:t>
      </w:r>
      <w:r w:rsidR="003E17F5" w:rsidRPr="0055681B">
        <w:t>s</w:t>
      </w:r>
      <w:r w:rsidR="003E17F5" w:rsidRPr="00B31B90">
        <w:rPr>
          <w:rFonts w:eastAsia="SimSun"/>
          <w:lang w:val="en-US" w:eastAsia="zh-CN"/>
        </w:rPr>
        <w:t>, the written replies to the Committee’s list of issues</w:t>
      </w:r>
      <w:r w:rsidR="003E17F5" w:rsidRPr="00FF540B">
        <w:rPr>
          <w:rFonts w:eastAsia="SimSun"/>
          <w:lang w:val="en-US" w:eastAsia="zh-CN"/>
        </w:rPr>
        <w:t xml:space="preserve"> and the present concluding</w:t>
      </w:r>
      <w:r w:rsidR="003E17F5" w:rsidRPr="00FF540B">
        <w:rPr>
          <w:b/>
          <w:bCs/>
          <w:lang w:val="en-US"/>
        </w:rPr>
        <w:t xml:space="preserve"> </w:t>
      </w:r>
      <w:r w:rsidR="003E17F5" w:rsidRPr="00FF540B">
        <w:rPr>
          <w:rFonts w:eastAsia="SimSun"/>
          <w:lang w:val="en-US" w:eastAsia="zh-CN"/>
        </w:rPr>
        <w:t xml:space="preserve">observations </w:t>
      </w:r>
      <w:r w:rsidR="003E17F5" w:rsidRPr="005C6577">
        <w:rPr>
          <w:rFonts w:eastAsia="SimSun"/>
          <w:lang w:val="en-US" w:eastAsia="zh-CN"/>
        </w:rPr>
        <w:t>with a view</w:t>
      </w:r>
      <w:r w:rsidR="003E17F5" w:rsidRPr="00FF540B">
        <w:rPr>
          <w:rFonts w:eastAsia="SimSun"/>
          <w:lang w:val="en-US" w:eastAsia="zh-CN"/>
        </w:rPr>
        <w:t xml:space="preserve"> to </w:t>
      </w:r>
      <w:r w:rsidR="003E17F5">
        <w:rPr>
          <w:rFonts w:eastAsia="SimSun"/>
          <w:lang w:val="en-US" w:eastAsia="zh-CN"/>
        </w:rPr>
        <w:t>raising</w:t>
      </w:r>
      <w:r w:rsidR="003E17F5" w:rsidRPr="00FF540B">
        <w:rPr>
          <w:rFonts w:eastAsia="SimSun"/>
          <w:lang w:val="en-US" w:eastAsia="zh-CN"/>
        </w:rPr>
        <w:t xml:space="preserve"> awareness </w:t>
      </w:r>
      <w:r w:rsidR="003E17F5">
        <w:rPr>
          <w:rFonts w:eastAsia="SimSun"/>
          <w:lang w:val="en-US" w:eastAsia="zh-CN"/>
        </w:rPr>
        <w:t xml:space="preserve">of the rights enshrined in the Covenant </w:t>
      </w:r>
      <w:r w:rsidR="003E17F5" w:rsidRPr="00FF540B">
        <w:rPr>
          <w:rFonts w:eastAsia="SimSun"/>
          <w:lang w:val="en-US" w:eastAsia="zh-CN"/>
        </w:rPr>
        <w:t>among the judicial, legislative and administrative</w:t>
      </w:r>
      <w:r w:rsidR="003E17F5" w:rsidRPr="00FF540B">
        <w:rPr>
          <w:b/>
          <w:bCs/>
          <w:lang w:val="en-US"/>
        </w:rPr>
        <w:t xml:space="preserve"> </w:t>
      </w:r>
      <w:r w:rsidR="003E17F5" w:rsidRPr="00FF540B">
        <w:rPr>
          <w:rFonts w:eastAsia="SimSun"/>
          <w:lang w:val="en-US" w:eastAsia="zh-CN"/>
        </w:rPr>
        <w:t xml:space="preserve">authorities, civil society and </w:t>
      </w:r>
      <w:r w:rsidR="003E17F5">
        <w:rPr>
          <w:rFonts w:eastAsia="SimSun"/>
          <w:lang w:val="en-US" w:eastAsia="zh-CN"/>
        </w:rPr>
        <w:t>NGOs</w:t>
      </w:r>
      <w:r w:rsidR="003E17F5" w:rsidRPr="00FF540B">
        <w:rPr>
          <w:rFonts w:eastAsia="SimSun"/>
          <w:lang w:val="en-US" w:eastAsia="zh-CN"/>
        </w:rPr>
        <w:t xml:space="preserve"> operating in the country, </w:t>
      </w:r>
      <w:r w:rsidR="003E17F5">
        <w:rPr>
          <w:rFonts w:eastAsia="SimSun"/>
          <w:lang w:val="en-US" w:eastAsia="zh-CN"/>
        </w:rPr>
        <w:t xml:space="preserve">and </w:t>
      </w:r>
      <w:r w:rsidR="003E17F5" w:rsidRPr="00FF540B">
        <w:rPr>
          <w:rFonts w:eastAsia="SimSun"/>
          <w:lang w:val="en-US" w:eastAsia="zh-CN"/>
        </w:rPr>
        <w:t xml:space="preserve">the general public. </w:t>
      </w:r>
      <w:r w:rsidR="003E17F5">
        <w:t xml:space="preserve">The State party should ensure that the report and the present concluding observations are translated into the </w:t>
      </w:r>
      <w:r w:rsidR="003E17F5" w:rsidRPr="00AC50BB">
        <w:t>official language</w:t>
      </w:r>
      <w:r w:rsidR="003E17F5">
        <w:t xml:space="preserve"> </w:t>
      </w:r>
      <w:r w:rsidR="003E17F5" w:rsidRPr="00AC50BB">
        <w:t>of</w:t>
      </w:r>
      <w:r w:rsidR="003E17F5">
        <w:t xml:space="preserve"> the State party. </w:t>
      </w:r>
    </w:p>
    <w:p w:rsidR="003E17F5" w:rsidRPr="004816A4" w:rsidRDefault="00A963A8" w:rsidP="001D7A64">
      <w:pPr>
        <w:pStyle w:val="SingleTxtG"/>
      </w:pPr>
      <w:r>
        <w:t>3</w:t>
      </w:r>
      <w:r w:rsidR="007E66E3">
        <w:t>4</w:t>
      </w:r>
      <w:r w:rsidR="003E17F5">
        <w:t>.</w:t>
      </w:r>
      <w:r w:rsidR="003E17F5" w:rsidRPr="00FF540B">
        <w:tab/>
        <w:t xml:space="preserve">In </w:t>
      </w:r>
      <w:r w:rsidR="003E17F5" w:rsidRPr="00163614">
        <w:t>accordance with rule 71, paragraph 5, of the Committee’s rules of procedure,</w:t>
      </w:r>
      <w:r w:rsidR="003E17F5" w:rsidRPr="00FF540B">
        <w:t xml:space="preserve"> the State party </w:t>
      </w:r>
      <w:r w:rsidR="003E17F5">
        <w:t>is requested to</w:t>
      </w:r>
      <w:r w:rsidR="003E17F5" w:rsidRPr="00FF540B">
        <w:t xml:space="preserve"> provide, within one year</w:t>
      </w:r>
      <w:r w:rsidR="003E17F5" w:rsidRPr="006D0B2A">
        <w:t xml:space="preserve"> </w:t>
      </w:r>
      <w:r w:rsidR="003E17F5" w:rsidRPr="00B56567">
        <w:t>of the adoption of the present concluding observations</w:t>
      </w:r>
      <w:r w:rsidR="003E17F5" w:rsidRPr="00FF540B">
        <w:t>,</w:t>
      </w:r>
      <w:r w:rsidR="003E17F5" w:rsidRPr="00FF540B">
        <w:rPr>
          <w:bCs/>
        </w:rPr>
        <w:t xml:space="preserve"> information on </w:t>
      </w:r>
      <w:r w:rsidR="003E17F5">
        <w:rPr>
          <w:bCs/>
        </w:rPr>
        <w:t xml:space="preserve">the </w:t>
      </w:r>
      <w:r w:rsidR="003E17F5" w:rsidRPr="00FF540B">
        <w:rPr>
          <w:bCs/>
        </w:rPr>
        <w:t>implementation of the recommendations</w:t>
      </w:r>
      <w:r w:rsidR="003E17F5" w:rsidRPr="00FF540B">
        <w:t xml:space="preserve"> made </w:t>
      </w:r>
      <w:r w:rsidR="003E17F5">
        <w:t xml:space="preserve">by the Committee </w:t>
      </w:r>
      <w:r w:rsidR="003E17F5" w:rsidRPr="00FF540B">
        <w:t xml:space="preserve">in paragraphs </w:t>
      </w:r>
      <w:r w:rsidR="003E17F5" w:rsidRPr="004816A4">
        <w:t>14</w:t>
      </w:r>
      <w:r w:rsidR="003E17F5">
        <w:rPr>
          <w:color w:val="FF0000"/>
        </w:rPr>
        <w:t xml:space="preserve"> </w:t>
      </w:r>
      <w:r w:rsidR="003E17F5" w:rsidRPr="005C6196">
        <w:t>(</w:t>
      </w:r>
      <w:r w:rsidR="003E17F5" w:rsidRPr="004816A4">
        <w:t>Early marriage and harmful traditional practices</w:t>
      </w:r>
      <w:r w:rsidR="003E17F5" w:rsidRPr="005C6196">
        <w:t>)</w:t>
      </w:r>
      <w:r w:rsidR="003E17F5">
        <w:t xml:space="preserve">, </w:t>
      </w:r>
      <w:r w:rsidR="00566859">
        <w:t>20</w:t>
      </w:r>
      <w:r w:rsidR="003E17F5" w:rsidRPr="004816A4">
        <w:t xml:space="preserve"> </w:t>
      </w:r>
      <w:r w:rsidR="003E17F5" w:rsidRPr="005C6196">
        <w:t>(</w:t>
      </w:r>
      <w:r w:rsidR="003E17F5" w:rsidRPr="004816A4">
        <w:t>Extra</w:t>
      </w:r>
      <w:r w:rsidR="00B43343">
        <w:t>-</w:t>
      </w:r>
      <w:r w:rsidR="003E17F5" w:rsidRPr="004816A4">
        <w:t>judicial killings and enforced disappearances</w:t>
      </w:r>
      <w:r w:rsidR="003E17F5" w:rsidRPr="005C6196">
        <w:t>)</w:t>
      </w:r>
      <w:r w:rsidR="003E17F5" w:rsidRPr="006F5887">
        <w:t xml:space="preserve"> and </w:t>
      </w:r>
      <w:r w:rsidR="00572169">
        <w:t xml:space="preserve">22 (torture and ill treatment) </w:t>
      </w:r>
      <w:r w:rsidR="003E17F5" w:rsidRPr="004816A4">
        <w:t>above.</w:t>
      </w:r>
    </w:p>
    <w:p w:rsidR="003E17F5" w:rsidRPr="00E80501" w:rsidRDefault="00A963A8" w:rsidP="001D7A64">
      <w:pPr>
        <w:pStyle w:val="SingleTxtG"/>
        <w:rPr>
          <w:color w:val="000000" w:themeColor="text1"/>
        </w:rPr>
      </w:pPr>
      <w:r>
        <w:rPr>
          <w:color w:val="000000" w:themeColor="text1"/>
        </w:rPr>
        <w:t>3</w:t>
      </w:r>
      <w:r w:rsidR="007E66E3">
        <w:rPr>
          <w:color w:val="000000" w:themeColor="text1"/>
        </w:rPr>
        <w:t>5</w:t>
      </w:r>
      <w:r w:rsidR="003E17F5" w:rsidRPr="00E80501">
        <w:rPr>
          <w:color w:val="000000" w:themeColor="text1"/>
        </w:rPr>
        <w:t>.</w:t>
      </w:r>
      <w:r w:rsidR="003E17F5" w:rsidRPr="00E80501">
        <w:rPr>
          <w:color w:val="000000" w:themeColor="text1"/>
        </w:rPr>
        <w:tab/>
        <w:t>The Committee requests the State party to submit its next periodic report by</w:t>
      </w:r>
      <w:r w:rsidR="00644830">
        <w:rPr>
          <w:color w:val="000000" w:themeColor="text1"/>
        </w:rPr>
        <w:t xml:space="preserve"> 29 March 2021</w:t>
      </w:r>
      <w:r w:rsidR="003E17F5" w:rsidRPr="00E80501">
        <w:rPr>
          <w:color w:val="000000" w:themeColor="text1"/>
        </w:rPr>
        <w:t xml:space="preserve"> and to include in that report specific up-to-date information on the implementation of the recommendations made in the present concluding observations and of the Covenant as a whole. The Committee also requests the State party, in preparing the report, to broadly consult civil society and NGOs operating in the country</w:t>
      </w:r>
      <w:r w:rsidR="003E17F5" w:rsidRPr="00E80501">
        <w:rPr>
          <w:rFonts w:eastAsia="SimSun"/>
          <w:bCs/>
          <w:color w:val="000000" w:themeColor="text1"/>
          <w:lang w:eastAsia="zh-CN"/>
        </w:rPr>
        <w:t>, as well as minority and marginalized groups</w:t>
      </w:r>
      <w:r w:rsidR="003E17F5" w:rsidRPr="00E80501">
        <w:rPr>
          <w:color w:val="000000" w:themeColor="text1"/>
        </w:rPr>
        <w:t xml:space="preserve">. In accordance with General Assembly resolution 68/268, the word limit for the report is 21,200 words. Alternatively, the Committee invites the State party to agree, by </w:t>
      </w:r>
      <w:r w:rsidR="00397CD2">
        <w:rPr>
          <w:color w:val="000000" w:themeColor="text1"/>
        </w:rPr>
        <w:t>2</w:t>
      </w:r>
      <w:r w:rsidR="005C7575">
        <w:rPr>
          <w:color w:val="000000" w:themeColor="text1"/>
        </w:rPr>
        <w:t>9</w:t>
      </w:r>
      <w:r w:rsidR="00397CD2">
        <w:rPr>
          <w:color w:val="000000" w:themeColor="text1"/>
        </w:rPr>
        <w:t xml:space="preserve"> March 2018</w:t>
      </w:r>
      <w:r w:rsidR="003E17F5" w:rsidRPr="00E80501">
        <w:rPr>
          <w:color w:val="000000" w:themeColor="text1"/>
        </w:rPr>
        <w:t xml:space="preserve">, to use its simplified reporting procedure, whereby the Committee transmits a list of issues to the State party prior to the submission of its periodic report. The State party’s replies to that list will constitute its </w:t>
      </w:r>
      <w:r w:rsidR="00397CD2">
        <w:rPr>
          <w:color w:val="000000" w:themeColor="text1"/>
        </w:rPr>
        <w:t xml:space="preserve">second </w:t>
      </w:r>
      <w:r w:rsidR="003E17F5" w:rsidRPr="00E80501">
        <w:rPr>
          <w:color w:val="000000" w:themeColor="text1"/>
        </w:rPr>
        <w:t>periodic report to be submitted under article 40 of the Covenant.</w:t>
      </w:r>
    </w:p>
    <w:p w:rsidR="00A7603B" w:rsidRPr="00A7603B" w:rsidRDefault="00A7603B" w:rsidP="00A7603B">
      <w:pPr>
        <w:pStyle w:val="SingleTxtG"/>
        <w:spacing w:before="240" w:after="0"/>
        <w:jc w:val="center"/>
        <w:rPr>
          <w:u w:val="single"/>
        </w:rPr>
      </w:pPr>
      <w:r>
        <w:rPr>
          <w:u w:val="single"/>
        </w:rPr>
        <w:tab/>
      </w:r>
      <w:r>
        <w:rPr>
          <w:u w:val="single"/>
        </w:rPr>
        <w:tab/>
      </w:r>
      <w:r>
        <w:rPr>
          <w:u w:val="single"/>
        </w:rPr>
        <w:tab/>
      </w:r>
    </w:p>
    <w:sectPr w:rsidR="00A7603B" w:rsidRPr="00A7603B" w:rsidSect="002028D4">
      <w:footerReference w:type="even" r:id="rId12"/>
      <w:footerReference w:type="default" r:id="rId13"/>
      <w:footerReference w:type="first" r:id="rId14"/>
      <w:endnotePr>
        <w:numFmt w:val="decimal"/>
      </w:endnotePr>
      <w:pgSz w:w="11907" w:h="16840" w:code="9"/>
      <w:pgMar w:top="1701" w:right="1134" w:bottom="2127" w:left="1134" w:header="1134" w:footer="1701"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D6" w:rsidRDefault="00E234D6"/>
  </w:endnote>
  <w:endnote w:type="continuationSeparator" w:id="0">
    <w:p w:rsidR="00E234D6" w:rsidRDefault="00E234D6"/>
  </w:endnote>
  <w:endnote w:type="continuationNotice" w:id="1">
    <w:p w:rsidR="00E234D6" w:rsidRDefault="00E23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F5" w:rsidRPr="003E17F5" w:rsidRDefault="003E17F5" w:rsidP="003E17F5">
    <w:pPr>
      <w:pStyle w:val="Footer"/>
      <w:tabs>
        <w:tab w:val="right" w:pos="9638"/>
      </w:tabs>
      <w:rPr>
        <w:b/>
        <w:sz w:val="18"/>
      </w:rPr>
    </w:pPr>
    <w:r>
      <w:rPr>
        <w:sz w:val="20"/>
      </w:rPr>
      <w:tab/>
    </w:r>
    <w:r w:rsidRPr="003E17F5">
      <w:rPr>
        <w:b/>
        <w:sz w:val="18"/>
      </w:rPr>
      <w:fldChar w:fldCharType="begin"/>
    </w:r>
    <w:r w:rsidRPr="003E17F5">
      <w:rPr>
        <w:b/>
        <w:sz w:val="18"/>
      </w:rPr>
      <w:instrText xml:space="preserve"> PAGE  \* MERGEFORMAT </w:instrText>
    </w:r>
    <w:r w:rsidRPr="003E17F5">
      <w:rPr>
        <w:b/>
        <w:sz w:val="18"/>
      </w:rPr>
      <w:fldChar w:fldCharType="separate"/>
    </w:r>
    <w:r w:rsidR="006E6610">
      <w:rPr>
        <w:b/>
        <w:noProof/>
        <w:sz w:val="18"/>
      </w:rPr>
      <w:t>8</w:t>
    </w:r>
    <w:r w:rsidRPr="003E17F5">
      <w:rPr>
        <w:b/>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F5" w:rsidRPr="003E17F5" w:rsidRDefault="003E17F5" w:rsidP="003E17F5">
    <w:pPr>
      <w:pStyle w:val="Footer"/>
      <w:tabs>
        <w:tab w:val="right" w:pos="9638"/>
      </w:tabs>
    </w:pPr>
    <w:r w:rsidRPr="003E17F5">
      <w:rPr>
        <w:b/>
        <w:sz w:val="18"/>
      </w:rPr>
      <w:fldChar w:fldCharType="begin"/>
    </w:r>
    <w:r w:rsidRPr="003E17F5">
      <w:rPr>
        <w:b/>
        <w:sz w:val="18"/>
      </w:rPr>
      <w:instrText xml:space="preserve"> PAGE  \* MERGEFORMAT </w:instrText>
    </w:r>
    <w:r w:rsidRPr="003E17F5">
      <w:rPr>
        <w:b/>
        <w:sz w:val="18"/>
      </w:rPr>
      <w:fldChar w:fldCharType="separate"/>
    </w:r>
    <w:r w:rsidR="006E6610">
      <w:rPr>
        <w:b/>
        <w:noProof/>
        <w:sz w:val="18"/>
      </w:rPr>
      <w:t>7</w:t>
    </w:r>
    <w:r w:rsidRPr="003E17F5">
      <w:rPr>
        <w:b/>
        <w:sz w:val="18"/>
      </w:rPr>
      <w:fldChar w:fldCharType="end"/>
    </w:r>
    <w:r>
      <w:rPr>
        <w:sz w:val="18"/>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B3" w:rsidRDefault="00A14423">
    <w:r>
      <w:rPr>
        <w:noProof/>
        <w:lang w:val="en-US"/>
      </w:rPr>
      <w:drawing>
        <wp:anchor distT="0" distB="0" distL="114300" distR="114300" simplePos="0" relativeHeight="251657728" behindDoc="0" locked="1" layoutInCell="1" allowOverlap="1" wp14:anchorId="7DAD2475" wp14:editId="765CA206">
          <wp:simplePos x="0" y="0"/>
          <wp:positionH relativeFrom="column">
            <wp:posOffset>5148580</wp:posOffset>
          </wp:positionH>
          <wp:positionV relativeFrom="paragraph">
            <wp:posOffset>-79375</wp:posOffset>
          </wp:positionV>
          <wp:extent cx="930275" cy="230505"/>
          <wp:effectExtent l="0" t="0" r="952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D6" w:rsidRPr="000B175B" w:rsidRDefault="00E234D6" w:rsidP="000B175B">
      <w:pPr>
        <w:tabs>
          <w:tab w:val="right" w:pos="2155"/>
        </w:tabs>
        <w:spacing w:after="80"/>
        <w:ind w:left="680"/>
        <w:rPr>
          <w:u w:val="single"/>
        </w:rPr>
      </w:pPr>
      <w:r>
        <w:rPr>
          <w:u w:val="single"/>
        </w:rPr>
        <w:tab/>
      </w:r>
    </w:p>
  </w:footnote>
  <w:footnote w:type="continuationSeparator" w:id="0">
    <w:p w:rsidR="00E234D6" w:rsidRPr="00FC68B7" w:rsidRDefault="00E234D6" w:rsidP="00FC68B7">
      <w:pPr>
        <w:tabs>
          <w:tab w:val="left" w:pos="2155"/>
        </w:tabs>
        <w:spacing w:after="80"/>
        <w:ind w:left="680"/>
        <w:rPr>
          <w:u w:val="single"/>
        </w:rPr>
      </w:pPr>
      <w:r>
        <w:rPr>
          <w:u w:val="single"/>
        </w:rPr>
        <w:tab/>
      </w:r>
    </w:p>
  </w:footnote>
  <w:footnote w:type="continuationNotice" w:id="1">
    <w:p w:rsidR="00E234D6" w:rsidRDefault="00E234D6"/>
  </w:footnote>
  <w:footnote w:id="2">
    <w:p w:rsidR="003E17F5" w:rsidRDefault="003E17F5" w:rsidP="00E80501">
      <w:r>
        <w:tab/>
      </w:r>
      <w:r w:rsidRPr="00F27BAF">
        <w:rPr>
          <w:rStyle w:val="FootnoteReference"/>
          <w:sz w:val="20"/>
          <w:vertAlign w:val="baseline"/>
        </w:rPr>
        <w:t>*</w:t>
      </w:r>
      <w:r>
        <w:tab/>
      </w:r>
      <w:r w:rsidR="00E67828" w:rsidRPr="00067BF1">
        <w:t>Adopted by the Committee at its 119th session (6 - 29 March 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2C3"/>
    <w:multiLevelType w:val="hybridMultilevel"/>
    <w:tmpl w:val="12E647D2"/>
    <w:lvl w:ilvl="0" w:tplc="418A9B46">
      <w:start w:val="10"/>
      <w:numFmt w:val="decimal"/>
      <w:lvlText w:val="%1."/>
      <w:lvlJc w:val="left"/>
      <w:pPr>
        <w:ind w:left="1495" w:hanging="360"/>
      </w:pPr>
      <w:rPr>
        <w:rFonts w:hint="default"/>
        <w:b w:val="0"/>
      </w:rPr>
    </w:lvl>
    <w:lvl w:ilvl="1" w:tplc="08090019">
      <w:start w:val="1"/>
      <w:numFmt w:val="lowerLetter"/>
      <w:lvlText w:val="%2."/>
      <w:lvlJc w:val="left"/>
      <w:pPr>
        <w:ind w:left="1440" w:hanging="360"/>
      </w:pPr>
    </w:lvl>
    <w:lvl w:ilvl="2" w:tplc="71D6B9DA">
      <w:start w:val="1"/>
      <w:numFmt w:val="lowerLetter"/>
      <w:lvlText w:val="(%3)"/>
      <w:lvlJc w:val="left"/>
      <w:pPr>
        <w:ind w:left="2024"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AD713C7"/>
    <w:multiLevelType w:val="hybridMultilevel"/>
    <w:tmpl w:val="980A28DC"/>
    <w:lvl w:ilvl="0" w:tplc="B9B4B2B2">
      <w:start w:val="1"/>
      <w:numFmt w:val="lowerLetter"/>
      <w:lvlText w:val="(%1)"/>
      <w:lvlJc w:val="left"/>
      <w:pPr>
        <w:ind w:left="1855" w:hanging="360"/>
      </w:pPr>
      <w:rPr>
        <w:rFonts w:hint="default"/>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3">
    <w:nsid w:val="11BF6F45"/>
    <w:multiLevelType w:val="hybridMultilevel"/>
    <w:tmpl w:val="141830D0"/>
    <w:lvl w:ilvl="0" w:tplc="33BAB866">
      <w:start w:val="1"/>
      <w:numFmt w:val="lowerLetter"/>
      <w:lvlText w:val="(%1)"/>
      <w:lvlJc w:val="left"/>
      <w:pPr>
        <w:ind w:left="2024"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032043"/>
    <w:multiLevelType w:val="hybridMultilevel"/>
    <w:tmpl w:val="2E48CB6E"/>
    <w:lvl w:ilvl="0" w:tplc="BC9E9BC0">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nsid w:val="4028051E"/>
    <w:multiLevelType w:val="hybridMultilevel"/>
    <w:tmpl w:val="1D3607BE"/>
    <w:lvl w:ilvl="0" w:tplc="0146354C">
      <w:start w:val="17"/>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nsid w:val="46295F8F"/>
    <w:multiLevelType w:val="hybridMultilevel"/>
    <w:tmpl w:val="C722E970"/>
    <w:lvl w:ilvl="0" w:tplc="D3947298">
      <w:start w:val="3"/>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nsid w:val="500C156F"/>
    <w:multiLevelType w:val="hybridMultilevel"/>
    <w:tmpl w:val="ECC28D58"/>
    <w:lvl w:ilvl="0" w:tplc="AE8A50C2">
      <w:start w:val="29"/>
      <w:numFmt w:val="decimal"/>
      <w:lvlText w:val="%1."/>
      <w:lvlJc w:val="left"/>
      <w:pPr>
        <w:ind w:left="1495"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0E934B6"/>
    <w:multiLevelType w:val="hybridMultilevel"/>
    <w:tmpl w:val="705CDCEA"/>
    <w:lvl w:ilvl="0" w:tplc="418A9B46">
      <w:start w:val="10"/>
      <w:numFmt w:val="decimal"/>
      <w:lvlText w:val="%1."/>
      <w:lvlJc w:val="left"/>
      <w:pPr>
        <w:ind w:left="1495" w:hanging="360"/>
      </w:pPr>
      <w:rPr>
        <w:rFonts w:hint="default"/>
        <w:b w:val="0"/>
      </w:rPr>
    </w:lvl>
    <w:lvl w:ilvl="1" w:tplc="08090019">
      <w:start w:val="1"/>
      <w:numFmt w:val="lowerLetter"/>
      <w:lvlText w:val="%2."/>
      <w:lvlJc w:val="left"/>
      <w:pPr>
        <w:ind w:left="1440" w:hanging="360"/>
      </w:pPr>
    </w:lvl>
    <w:lvl w:ilvl="2" w:tplc="33BAB866">
      <w:start w:val="1"/>
      <w:numFmt w:val="lowerLetter"/>
      <w:lvlText w:val="(%3)"/>
      <w:lvlJc w:val="left"/>
      <w:pPr>
        <w:ind w:left="2024"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966304"/>
    <w:multiLevelType w:val="hybridMultilevel"/>
    <w:tmpl w:val="74A8D504"/>
    <w:lvl w:ilvl="0" w:tplc="3BE8C32A">
      <w:start w:val="5"/>
      <w:numFmt w:val="decimal"/>
      <w:lvlText w:val="%1."/>
      <w:lvlJc w:val="left"/>
      <w:pPr>
        <w:ind w:left="1495" w:hanging="360"/>
      </w:pPr>
      <w:rPr>
        <w:rFonts w:hint="default"/>
        <w:color w:val="auto"/>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0">
    <w:nsid w:val="5AE259C8"/>
    <w:multiLevelType w:val="hybridMultilevel"/>
    <w:tmpl w:val="AF607E18"/>
    <w:lvl w:ilvl="0" w:tplc="4C4449B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0"/>
  </w:num>
  <w:num w:numId="4">
    <w:abstractNumId w:val="6"/>
  </w:num>
  <w:num w:numId="5">
    <w:abstractNumId w:val="2"/>
  </w:num>
  <w:num w:numId="6">
    <w:abstractNumId w:val="8"/>
  </w:num>
  <w:num w:numId="7">
    <w:abstractNumId w:val="9"/>
  </w:num>
  <w:num w:numId="8">
    <w:abstractNumId w:val="3"/>
  </w:num>
  <w:num w:numId="9">
    <w:abstractNumId w:val="7"/>
  </w:num>
  <w:num w:numId="10">
    <w:abstractNumId w:val="5"/>
  </w:num>
  <w:num w:numId="11">
    <w:abstractNumId w:val="4"/>
  </w:num>
  <w:num w:numId="12">
    <w:abstractNumId w:val="10"/>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val shany">
    <w15:presenceInfo w15:providerId="Windows Live" w15:userId="7241cfb2c33532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F5"/>
    <w:rsid w:val="000272B3"/>
    <w:rsid w:val="00034E47"/>
    <w:rsid w:val="00050F6B"/>
    <w:rsid w:val="00057E97"/>
    <w:rsid w:val="00060C3A"/>
    <w:rsid w:val="000635FF"/>
    <w:rsid w:val="00064B8D"/>
    <w:rsid w:val="00072C8C"/>
    <w:rsid w:val="000733B5"/>
    <w:rsid w:val="00081815"/>
    <w:rsid w:val="00091D53"/>
    <w:rsid w:val="000931C0"/>
    <w:rsid w:val="000A7BAD"/>
    <w:rsid w:val="000B175B"/>
    <w:rsid w:val="000B3A0F"/>
    <w:rsid w:val="000B4EF7"/>
    <w:rsid w:val="000C2448"/>
    <w:rsid w:val="000C2C03"/>
    <w:rsid w:val="000C2D2E"/>
    <w:rsid w:val="000D444F"/>
    <w:rsid w:val="000E0415"/>
    <w:rsid w:val="00100C27"/>
    <w:rsid w:val="001103AA"/>
    <w:rsid w:val="001327E6"/>
    <w:rsid w:val="00147A9D"/>
    <w:rsid w:val="00165BBF"/>
    <w:rsid w:val="00165F3A"/>
    <w:rsid w:val="00171651"/>
    <w:rsid w:val="00183968"/>
    <w:rsid w:val="001A6686"/>
    <w:rsid w:val="001B4B04"/>
    <w:rsid w:val="001C6663"/>
    <w:rsid w:val="001C7895"/>
    <w:rsid w:val="001D0C8C"/>
    <w:rsid w:val="001D26DF"/>
    <w:rsid w:val="001D3A03"/>
    <w:rsid w:val="001D7A64"/>
    <w:rsid w:val="002028D4"/>
    <w:rsid w:val="00202DA8"/>
    <w:rsid w:val="00211E0B"/>
    <w:rsid w:val="002152A0"/>
    <w:rsid w:val="0023210C"/>
    <w:rsid w:val="00241640"/>
    <w:rsid w:val="00267F5F"/>
    <w:rsid w:val="00286B4D"/>
    <w:rsid w:val="002D7BB9"/>
    <w:rsid w:val="002F175C"/>
    <w:rsid w:val="003229D8"/>
    <w:rsid w:val="003268F9"/>
    <w:rsid w:val="0033102A"/>
    <w:rsid w:val="003310F9"/>
    <w:rsid w:val="00352709"/>
    <w:rsid w:val="0036238C"/>
    <w:rsid w:val="00366973"/>
    <w:rsid w:val="00367567"/>
    <w:rsid w:val="00371178"/>
    <w:rsid w:val="0038336C"/>
    <w:rsid w:val="0039639F"/>
    <w:rsid w:val="00397CD2"/>
    <w:rsid w:val="003A0365"/>
    <w:rsid w:val="003A6810"/>
    <w:rsid w:val="003C2CC4"/>
    <w:rsid w:val="003D4B23"/>
    <w:rsid w:val="003E17F5"/>
    <w:rsid w:val="00410C89"/>
    <w:rsid w:val="00426B9B"/>
    <w:rsid w:val="004325CB"/>
    <w:rsid w:val="00436B33"/>
    <w:rsid w:val="00442A83"/>
    <w:rsid w:val="00443F6F"/>
    <w:rsid w:val="0045495B"/>
    <w:rsid w:val="0047764B"/>
    <w:rsid w:val="00482925"/>
    <w:rsid w:val="00487488"/>
    <w:rsid w:val="004A3A86"/>
    <w:rsid w:val="004A6C0E"/>
    <w:rsid w:val="004C0D1E"/>
    <w:rsid w:val="004D739C"/>
    <w:rsid w:val="004E6ABB"/>
    <w:rsid w:val="00503BAA"/>
    <w:rsid w:val="0051599A"/>
    <w:rsid w:val="005175E9"/>
    <w:rsid w:val="0052136D"/>
    <w:rsid w:val="0052775E"/>
    <w:rsid w:val="005420F2"/>
    <w:rsid w:val="005628B6"/>
    <w:rsid w:val="00566859"/>
    <w:rsid w:val="00572169"/>
    <w:rsid w:val="005848B3"/>
    <w:rsid w:val="00590F87"/>
    <w:rsid w:val="00592C4A"/>
    <w:rsid w:val="005B04FF"/>
    <w:rsid w:val="005B3DB3"/>
    <w:rsid w:val="005C6CAC"/>
    <w:rsid w:val="005C7575"/>
    <w:rsid w:val="005D6471"/>
    <w:rsid w:val="005F7169"/>
    <w:rsid w:val="005F7717"/>
    <w:rsid w:val="005F7B75"/>
    <w:rsid w:val="006001EE"/>
    <w:rsid w:val="00605042"/>
    <w:rsid w:val="00611FC4"/>
    <w:rsid w:val="00613CEB"/>
    <w:rsid w:val="006176FB"/>
    <w:rsid w:val="00635493"/>
    <w:rsid w:val="00640B26"/>
    <w:rsid w:val="00640C54"/>
    <w:rsid w:val="00643F36"/>
    <w:rsid w:val="00644830"/>
    <w:rsid w:val="006510B1"/>
    <w:rsid w:val="00652D0A"/>
    <w:rsid w:val="0065336B"/>
    <w:rsid w:val="00662BB6"/>
    <w:rsid w:val="006702A0"/>
    <w:rsid w:val="00684C21"/>
    <w:rsid w:val="00686937"/>
    <w:rsid w:val="0068744F"/>
    <w:rsid w:val="00695E65"/>
    <w:rsid w:val="006B15C4"/>
    <w:rsid w:val="006D20B3"/>
    <w:rsid w:val="006D37AF"/>
    <w:rsid w:val="006D51D0"/>
    <w:rsid w:val="006E05A5"/>
    <w:rsid w:val="006E564B"/>
    <w:rsid w:val="006E6610"/>
    <w:rsid w:val="006E7191"/>
    <w:rsid w:val="00703577"/>
    <w:rsid w:val="0072632A"/>
    <w:rsid w:val="007327D5"/>
    <w:rsid w:val="007429BA"/>
    <w:rsid w:val="007564CF"/>
    <w:rsid w:val="00756826"/>
    <w:rsid w:val="007629C8"/>
    <w:rsid w:val="00771E68"/>
    <w:rsid w:val="0078292E"/>
    <w:rsid w:val="00790CF4"/>
    <w:rsid w:val="007A430F"/>
    <w:rsid w:val="007B6BA5"/>
    <w:rsid w:val="007C3390"/>
    <w:rsid w:val="007C4F4B"/>
    <w:rsid w:val="007C784F"/>
    <w:rsid w:val="007D611B"/>
    <w:rsid w:val="007E0B2D"/>
    <w:rsid w:val="007E345B"/>
    <w:rsid w:val="007E66E3"/>
    <w:rsid w:val="007F6611"/>
    <w:rsid w:val="0080092B"/>
    <w:rsid w:val="008105B8"/>
    <w:rsid w:val="008242D7"/>
    <w:rsid w:val="008257B1"/>
    <w:rsid w:val="0082691C"/>
    <w:rsid w:val="00832FAA"/>
    <w:rsid w:val="00843767"/>
    <w:rsid w:val="008679D9"/>
    <w:rsid w:val="0087307F"/>
    <w:rsid w:val="0089274E"/>
    <w:rsid w:val="00894BC2"/>
    <w:rsid w:val="008979B1"/>
    <w:rsid w:val="008A1DB2"/>
    <w:rsid w:val="008A6B25"/>
    <w:rsid w:val="008A6C4F"/>
    <w:rsid w:val="008B2335"/>
    <w:rsid w:val="008E0678"/>
    <w:rsid w:val="00910F40"/>
    <w:rsid w:val="00912C08"/>
    <w:rsid w:val="009223CA"/>
    <w:rsid w:val="00923536"/>
    <w:rsid w:val="00927B66"/>
    <w:rsid w:val="0093397A"/>
    <w:rsid w:val="00940F93"/>
    <w:rsid w:val="0095347F"/>
    <w:rsid w:val="009740B1"/>
    <w:rsid w:val="009760F3"/>
    <w:rsid w:val="00982B9F"/>
    <w:rsid w:val="00985592"/>
    <w:rsid w:val="00990224"/>
    <w:rsid w:val="009909F5"/>
    <w:rsid w:val="009A0E8D"/>
    <w:rsid w:val="009B26E7"/>
    <w:rsid w:val="009E1305"/>
    <w:rsid w:val="00A00A3F"/>
    <w:rsid w:val="00A01489"/>
    <w:rsid w:val="00A04E01"/>
    <w:rsid w:val="00A14423"/>
    <w:rsid w:val="00A338F1"/>
    <w:rsid w:val="00A42502"/>
    <w:rsid w:val="00A44615"/>
    <w:rsid w:val="00A463B4"/>
    <w:rsid w:val="00A50FFE"/>
    <w:rsid w:val="00A625F0"/>
    <w:rsid w:val="00A72F22"/>
    <w:rsid w:val="00A7360F"/>
    <w:rsid w:val="00A748A6"/>
    <w:rsid w:val="00A7603B"/>
    <w:rsid w:val="00A769F4"/>
    <w:rsid w:val="00A776B4"/>
    <w:rsid w:val="00A81044"/>
    <w:rsid w:val="00A94361"/>
    <w:rsid w:val="00A963A8"/>
    <w:rsid w:val="00AA293C"/>
    <w:rsid w:val="00AA6A6A"/>
    <w:rsid w:val="00AB37E0"/>
    <w:rsid w:val="00AC57E6"/>
    <w:rsid w:val="00AD31C1"/>
    <w:rsid w:val="00B10AD0"/>
    <w:rsid w:val="00B13E9B"/>
    <w:rsid w:val="00B30179"/>
    <w:rsid w:val="00B339A7"/>
    <w:rsid w:val="00B43343"/>
    <w:rsid w:val="00B56E4A"/>
    <w:rsid w:val="00B56E9C"/>
    <w:rsid w:val="00B608BC"/>
    <w:rsid w:val="00B64B1F"/>
    <w:rsid w:val="00B6553F"/>
    <w:rsid w:val="00B66E5E"/>
    <w:rsid w:val="00B77397"/>
    <w:rsid w:val="00B77D05"/>
    <w:rsid w:val="00B81206"/>
    <w:rsid w:val="00B81E12"/>
    <w:rsid w:val="00B9067B"/>
    <w:rsid w:val="00BB65F0"/>
    <w:rsid w:val="00BC2C23"/>
    <w:rsid w:val="00BC74E9"/>
    <w:rsid w:val="00BF06F3"/>
    <w:rsid w:val="00BF68A8"/>
    <w:rsid w:val="00C11A03"/>
    <w:rsid w:val="00C17867"/>
    <w:rsid w:val="00C463DD"/>
    <w:rsid w:val="00C4724C"/>
    <w:rsid w:val="00C629A0"/>
    <w:rsid w:val="00C745C3"/>
    <w:rsid w:val="00C86648"/>
    <w:rsid w:val="00C942F4"/>
    <w:rsid w:val="00CA027D"/>
    <w:rsid w:val="00CC1CF3"/>
    <w:rsid w:val="00CC2577"/>
    <w:rsid w:val="00CE4A8F"/>
    <w:rsid w:val="00CF5BEF"/>
    <w:rsid w:val="00D00977"/>
    <w:rsid w:val="00D11E98"/>
    <w:rsid w:val="00D13A6B"/>
    <w:rsid w:val="00D2031B"/>
    <w:rsid w:val="00D25FE2"/>
    <w:rsid w:val="00D30DA2"/>
    <w:rsid w:val="00D35C88"/>
    <w:rsid w:val="00D36FEA"/>
    <w:rsid w:val="00D4083F"/>
    <w:rsid w:val="00D43252"/>
    <w:rsid w:val="00D43974"/>
    <w:rsid w:val="00D47EEA"/>
    <w:rsid w:val="00D86F50"/>
    <w:rsid w:val="00D95303"/>
    <w:rsid w:val="00D978C6"/>
    <w:rsid w:val="00DA3111"/>
    <w:rsid w:val="00DA3C1C"/>
    <w:rsid w:val="00DB0C79"/>
    <w:rsid w:val="00DE25B9"/>
    <w:rsid w:val="00DE78AC"/>
    <w:rsid w:val="00E234D6"/>
    <w:rsid w:val="00E27346"/>
    <w:rsid w:val="00E558E0"/>
    <w:rsid w:val="00E67828"/>
    <w:rsid w:val="00E71BC8"/>
    <w:rsid w:val="00E7260F"/>
    <w:rsid w:val="00E779FC"/>
    <w:rsid w:val="00E80501"/>
    <w:rsid w:val="00E83919"/>
    <w:rsid w:val="00E96630"/>
    <w:rsid w:val="00EA4B2F"/>
    <w:rsid w:val="00EB2581"/>
    <w:rsid w:val="00EB5D6D"/>
    <w:rsid w:val="00ED7A2A"/>
    <w:rsid w:val="00EE177E"/>
    <w:rsid w:val="00EE5B69"/>
    <w:rsid w:val="00EF1D7F"/>
    <w:rsid w:val="00F20C3D"/>
    <w:rsid w:val="00F233A2"/>
    <w:rsid w:val="00F43E9E"/>
    <w:rsid w:val="00F87C3F"/>
    <w:rsid w:val="00F90416"/>
    <w:rsid w:val="00F9057C"/>
    <w:rsid w:val="00F906D7"/>
    <w:rsid w:val="00F93781"/>
    <w:rsid w:val="00FB613B"/>
    <w:rsid w:val="00FC68B7"/>
    <w:rsid w:val="00FE106A"/>
    <w:rsid w:val="00FF1381"/>
    <w:rsid w:val="00FF7D0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3E17F5"/>
    <w:rPr>
      <w:lang w:eastAsia="en-US"/>
    </w:rPr>
  </w:style>
  <w:style w:type="character" w:customStyle="1" w:styleId="sessionsubtitle">
    <w:name w:val="sessionsubtitle"/>
    <w:rsid w:val="003E17F5"/>
  </w:style>
  <w:style w:type="paragraph" w:customStyle="1" w:styleId="Default">
    <w:name w:val="Default"/>
    <w:rsid w:val="003E17F5"/>
    <w:pPr>
      <w:autoSpaceDE w:val="0"/>
      <w:autoSpaceDN w:val="0"/>
      <w:adjustRightInd w:val="0"/>
    </w:pPr>
    <w:rPr>
      <w:rFonts w:ascii="Amnesty Trade Gothic" w:hAnsi="Amnesty Trade Gothic" w:cs="Amnesty Trade Gothic"/>
      <w:color w:val="000000"/>
      <w:sz w:val="24"/>
      <w:szCs w:val="24"/>
    </w:rPr>
  </w:style>
  <w:style w:type="paragraph" w:styleId="ListParagraph">
    <w:name w:val="List Paragraph"/>
    <w:basedOn w:val="Normal"/>
    <w:uiPriority w:val="34"/>
    <w:qFormat/>
    <w:rsid w:val="003E17F5"/>
    <w:pPr>
      <w:ind w:left="720"/>
      <w:contextualSpacing/>
    </w:pPr>
  </w:style>
  <w:style w:type="character" w:customStyle="1" w:styleId="H23GChar">
    <w:name w:val="_ H_2/3_G Char"/>
    <w:link w:val="H23G"/>
    <w:rsid w:val="00CA027D"/>
    <w:rPr>
      <w:b/>
      <w:lang w:eastAsia="en-US"/>
    </w:rPr>
  </w:style>
  <w:style w:type="paragraph" w:styleId="BalloonText">
    <w:name w:val="Balloon Text"/>
    <w:basedOn w:val="Normal"/>
    <w:link w:val="BalloonTextChar"/>
    <w:semiHidden/>
    <w:unhideWhenUsed/>
    <w:rsid w:val="00E83919"/>
    <w:pPr>
      <w:spacing w:line="240" w:lineRule="auto"/>
    </w:pPr>
    <w:rPr>
      <w:sz w:val="18"/>
      <w:szCs w:val="18"/>
    </w:rPr>
  </w:style>
  <w:style w:type="character" w:customStyle="1" w:styleId="BalloonTextChar">
    <w:name w:val="Balloon Text Char"/>
    <w:basedOn w:val="DefaultParagraphFont"/>
    <w:link w:val="BalloonText"/>
    <w:semiHidden/>
    <w:rsid w:val="00E83919"/>
    <w:rPr>
      <w:sz w:val="18"/>
      <w:szCs w:val="18"/>
      <w:lang w:eastAsia="en-US"/>
    </w:rPr>
  </w:style>
  <w:style w:type="character" w:styleId="CommentReference">
    <w:name w:val="annotation reference"/>
    <w:basedOn w:val="DefaultParagraphFont"/>
    <w:semiHidden/>
    <w:unhideWhenUsed/>
    <w:rsid w:val="00E83919"/>
    <w:rPr>
      <w:sz w:val="18"/>
      <w:szCs w:val="18"/>
    </w:rPr>
  </w:style>
  <w:style w:type="paragraph" w:styleId="CommentText">
    <w:name w:val="annotation text"/>
    <w:basedOn w:val="Normal"/>
    <w:link w:val="CommentTextChar"/>
    <w:semiHidden/>
    <w:unhideWhenUsed/>
    <w:rsid w:val="00E83919"/>
    <w:pPr>
      <w:spacing w:line="240" w:lineRule="auto"/>
    </w:pPr>
    <w:rPr>
      <w:sz w:val="24"/>
      <w:szCs w:val="24"/>
    </w:rPr>
  </w:style>
  <w:style w:type="character" w:customStyle="1" w:styleId="CommentTextChar">
    <w:name w:val="Comment Text Char"/>
    <w:basedOn w:val="DefaultParagraphFont"/>
    <w:link w:val="CommentText"/>
    <w:semiHidden/>
    <w:rsid w:val="00E83919"/>
    <w:rPr>
      <w:sz w:val="24"/>
      <w:szCs w:val="24"/>
      <w:lang w:eastAsia="en-US"/>
    </w:rPr>
  </w:style>
  <w:style w:type="paragraph" w:styleId="CommentSubject">
    <w:name w:val="annotation subject"/>
    <w:basedOn w:val="CommentText"/>
    <w:next w:val="CommentText"/>
    <w:link w:val="CommentSubjectChar"/>
    <w:semiHidden/>
    <w:unhideWhenUsed/>
    <w:rsid w:val="00E83919"/>
    <w:rPr>
      <w:b/>
      <w:bCs/>
      <w:sz w:val="20"/>
      <w:szCs w:val="20"/>
    </w:rPr>
  </w:style>
  <w:style w:type="character" w:customStyle="1" w:styleId="CommentSubjectChar">
    <w:name w:val="Comment Subject Char"/>
    <w:basedOn w:val="CommentTextChar"/>
    <w:link w:val="CommentSubject"/>
    <w:semiHidden/>
    <w:rsid w:val="00E83919"/>
    <w:rPr>
      <w:b/>
      <w:bCs/>
      <w:sz w:val="24"/>
      <w:szCs w:val="24"/>
      <w:lang w:eastAsia="en-US"/>
    </w:rPr>
  </w:style>
  <w:style w:type="paragraph" w:styleId="Revision">
    <w:name w:val="Revision"/>
    <w:hidden/>
    <w:uiPriority w:val="99"/>
    <w:semiHidden/>
    <w:rsid w:val="00091D53"/>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3E17F5"/>
    <w:rPr>
      <w:lang w:eastAsia="en-US"/>
    </w:rPr>
  </w:style>
  <w:style w:type="character" w:customStyle="1" w:styleId="sessionsubtitle">
    <w:name w:val="sessionsubtitle"/>
    <w:rsid w:val="003E17F5"/>
  </w:style>
  <w:style w:type="paragraph" w:customStyle="1" w:styleId="Default">
    <w:name w:val="Default"/>
    <w:rsid w:val="003E17F5"/>
    <w:pPr>
      <w:autoSpaceDE w:val="0"/>
      <w:autoSpaceDN w:val="0"/>
      <w:adjustRightInd w:val="0"/>
    </w:pPr>
    <w:rPr>
      <w:rFonts w:ascii="Amnesty Trade Gothic" w:hAnsi="Amnesty Trade Gothic" w:cs="Amnesty Trade Gothic"/>
      <w:color w:val="000000"/>
      <w:sz w:val="24"/>
      <w:szCs w:val="24"/>
    </w:rPr>
  </w:style>
  <w:style w:type="paragraph" w:styleId="ListParagraph">
    <w:name w:val="List Paragraph"/>
    <w:basedOn w:val="Normal"/>
    <w:uiPriority w:val="34"/>
    <w:qFormat/>
    <w:rsid w:val="003E17F5"/>
    <w:pPr>
      <w:ind w:left="720"/>
      <w:contextualSpacing/>
    </w:pPr>
  </w:style>
  <w:style w:type="character" w:customStyle="1" w:styleId="H23GChar">
    <w:name w:val="_ H_2/3_G Char"/>
    <w:link w:val="H23G"/>
    <w:rsid w:val="00CA027D"/>
    <w:rPr>
      <w:b/>
      <w:lang w:eastAsia="en-US"/>
    </w:rPr>
  </w:style>
  <w:style w:type="paragraph" w:styleId="BalloonText">
    <w:name w:val="Balloon Text"/>
    <w:basedOn w:val="Normal"/>
    <w:link w:val="BalloonTextChar"/>
    <w:semiHidden/>
    <w:unhideWhenUsed/>
    <w:rsid w:val="00E83919"/>
    <w:pPr>
      <w:spacing w:line="240" w:lineRule="auto"/>
    </w:pPr>
    <w:rPr>
      <w:sz w:val="18"/>
      <w:szCs w:val="18"/>
    </w:rPr>
  </w:style>
  <w:style w:type="character" w:customStyle="1" w:styleId="BalloonTextChar">
    <w:name w:val="Balloon Text Char"/>
    <w:basedOn w:val="DefaultParagraphFont"/>
    <w:link w:val="BalloonText"/>
    <w:semiHidden/>
    <w:rsid w:val="00E83919"/>
    <w:rPr>
      <w:sz w:val="18"/>
      <w:szCs w:val="18"/>
      <w:lang w:eastAsia="en-US"/>
    </w:rPr>
  </w:style>
  <w:style w:type="character" w:styleId="CommentReference">
    <w:name w:val="annotation reference"/>
    <w:basedOn w:val="DefaultParagraphFont"/>
    <w:semiHidden/>
    <w:unhideWhenUsed/>
    <w:rsid w:val="00E83919"/>
    <w:rPr>
      <w:sz w:val="18"/>
      <w:szCs w:val="18"/>
    </w:rPr>
  </w:style>
  <w:style w:type="paragraph" w:styleId="CommentText">
    <w:name w:val="annotation text"/>
    <w:basedOn w:val="Normal"/>
    <w:link w:val="CommentTextChar"/>
    <w:semiHidden/>
    <w:unhideWhenUsed/>
    <w:rsid w:val="00E83919"/>
    <w:pPr>
      <w:spacing w:line="240" w:lineRule="auto"/>
    </w:pPr>
    <w:rPr>
      <w:sz w:val="24"/>
      <w:szCs w:val="24"/>
    </w:rPr>
  </w:style>
  <w:style w:type="character" w:customStyle="1" w:styleId="CommentTextChar">
    <w:name w:val="Comment Text Char"/>
    <w:basedOn w:val="DefaultParagraphFont"/>
    <w:link w:val="CommentText"/>
    <w:semiHidden/>
    <w:rsid w:val="00E83919"/>
    <w:rPr>
      <w:sz w:val="24"/>
      <w:szCs w:val="24"/>
      <w:lang w:eastAsia="en-US"/>
    </w:rPr>
  </w:style>
  <w:style w:type="paragraph" w:styleId="CommentSubject">
    <w:name w:val="annotation subject"/>
    <w:basedOn w:val="CommentText"/>
    <w:next w:val="CommentText"/>
    <w:link w:val="CommentSubjectChar"/>
    <w:semiHidden/>
    <w:unhideWhenUsed/>
    <w:rsid w:val="00E83919"/>
    <w:rPr>
      <w:b/>
      <w:bCs/>
      <w:sz w:val="20"/>
      <w:szCs w:val="20"/>
    </w:rPr>
  </w:style>
  <w:style w:type="character" w:customStyle="1" w:styleId="CommentSubjectChar">
    <w:name w:val="Comment Subject Char"/>
    <w:basedOn w:val="CommentTextChar"/>
    <w:link w:val="CommentSubject"/>
    <w:semiHidden/>
    <w:rsid w:val="00E83919"/>
    <w:rPr>
      <w:b/>
      <w:bCs/>
      <w:sz w:val="24"/>
      <w:szCs w:val="24"/>
      <w:lang w:eastAsia="en-US"/>
    </w:rPr>
  </w:style>
  <w:style w:type="paragraph" w:styleId="Revision">
    <w:name w:val="Revision"/>
    <w:hidden/>
    <w:uiPriority w:val="99"/>
    <w:semiHidden/>
    <w:rsid w:val="00091D5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82110">
      <w:bodyDiv w:val="1"/>
      <w:marLeft w:val="0"/>
      <w:marRight w:val="0"/>
      <w:marTop w:val="0"/>
      <w:marBottom w:val="0"/>
      <w:divBdr>
        <w:top w:val="none" w:sz="0" w:space="0" w:color="auto"/>
        <w:left w:val="none" w:sz="0" w:space="0" w:color="auto"/>
        <w:bottom w:val="none" w:sz="0" w:space="0" w:color="auto"/>
        <w:right w:val="none" w:sz="0" w:space="0" w:color="auto"/>
      </w:divBdr>
    </w:div>
    <w:div w:id="534000057">
      <w:bodyDiv w:val="1"/>
      <w:marLeft w:val="0"/>
      <w:marRight w:val="0"/>
      <w:marTop w:val="0"/>
      <w:marBottom w:val="0"/>
      <w:divBdr>
        <w:top w:val="none" w:sz="0" w:space="0" w:color="auto"/>
        <w:left w:val="none" w:sz="0" w:space="0" w:color="auto"/>
        <w:bottom w:val="none" w:sz="0" w:space="0" w:color="auto"/>
        <w:right w:val="none" w:sz="0" w:space="0" w:color="auto"/>
      </w:divBdr>
    </w:div>
    <w:div w:id="13113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472C-DD7C-4D8E-BA94-2CD8994DD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223FEA-BE18-4515-85B3-40B25D237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CD24F0-CA42-4647-9233-2088E578D6E4}">
  <ds:schemaRefs>
    <ds:schemaRef ds:uri="http://schemas.microsoft.com/sharepoint/v3/contenttype/forms"/>
  </ds:schemaRefs>
</ds:datastoreItem>
</file>

<file path=customXml/itemProps4.xml><?xml version="1.0" encoding="utf-8"?>
<ds:datastoreItem xmlns:ds="http://schemas.openxmlformats.org/officeDocument/2006/customXml" ds:itemID="{6329F3AF-E174-C149-BECD-9F0F3028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 Docs 2010\CCPR_E.dotm</Template>
  <TotalTime>1</TotalTime>
  <Pages>8</Pages>
  <Words>3863</Words>
  <Characters>22022</Characters>
  <Application>Microsoft Macintosh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Thodiyil Sindu</dc:creator>
  <cp:lastModifiedBy>Lori Brumat</cp:lastModifiedBy>
  <cp:revision>2</cp:revision>
  <cp:lastPrinted>2017-03-23T08:32:00Z</cp:lastPrinted>
  <dcterms:created xsi:type="dcterms:W3CDTF">2017-03-29T12:45:00Z</dcterms:created>
  <dcterms:modified xsi:type="dcterms:W3CDTF">2017-03-29T12:45:00Z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